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300" w:lineRule="auto" w:before="1080" w:after="560"/>
        <w:ind/>
        <w:jc w:val="center"/>
      </w:pPr>
      <w:r>
        <w:rPr>
          <w:rFonts w:ascii="宋体" w:hAnsi="宋体" w:eastAsia="宋体"/>
          <w:b w:val="0"/>
          <w:color w:val="2F3437"/>
          <w:sz w:val="22"/>
        </w:rPr>
        <w:t>《抽样技术》课程结课项目</w:t>
      </w:r>
    </w:p>
    <w:p>
      <w:pPr>
        <w:spacing w:line="300" w:lineRule="auto" w:after="160"/>
        <w:ind/>
        <w:jc w:val="center"/>
      </w:pPr>
      <w:r>
        <w:rPr>
          <w:rFonts w:ascii="宋体" w:hAnsi="宋体" w:eastAsia="宋体"/>
          <w:b w:val="0"/>
          <w:color w:val="2F3437"/>
          <w:sz w:val="22"/>
        </w:rPr>
        <w:t>C5门前草坪草数量抽样调查报告</w:t>
      </w:r>
    </w:p>
    <w:p>
      <w:pPr>
        <w:spacing w:line="300" w:lineRule="auto" w:after="360"/>
        <w:ind/>
        <w:jc w:val="center"/>
        <w:pBdr>
          <w:bottom w:val="single" w:sz="12" w:space="6" w:color="9DC9B8"/>
        </w:pBdr>
      </w:pPr>
      <w:r>
        <w:rPr>
          <w:rFonts w:ascii="宋体" w:hAnsi="宋体" w:eastAsia="宋体"/>
          <w:b w:val="0"/>
          <w:color w:val="2F3437"/>
          <w:sz w:val="22"/>
        </w:rPr>
        <w:t>——基于分层样方法的估计分析</w:t>
      </w:r>
    </w:p>
    <w:p>
      <w:pPr>
        <w:spacing w:line="300" w:lineRule="auto" w:before="720" w:after="120"/>
        <w:ind/>
        <w:jc w:val="center"/>
      </w:pPr>
      <w:r>
        <w:rPr>
          <w:rFonts w:ascii="宋体" w:hAnsi="宋体" w:eastAsia="宋体"/>
          <w:b w:val="0"/>
          <w:color w:val="2F3437"/>
          <w:sz w:val="22"/>
        </w:rPr>
        <w:t>学生姓名：李倩倩    学号：2024017349</w:t>
      </w:r>
    </w:p>
    <w:p>
      <w:pPr>
        <w:spacing w:line="300" w:lineRule="auto" w:after="120"/>
        <w:ind/>
        <w:jc w:val="center"/>
      </w:pPr>
      <w:r>
        <w:rPr>
          <w:rFonts w:ascii="宋体" w:hAnsi="宋体" w:eastAsia="宋体"/>
          <w:b w:val="0"/>
          <w:color w:val="2F3437"/>
          <w:sz w:val="22"/>
        </w:rPr>
        <w:t>课程名称：抽样技术</w:t>
      </w:r>
    </w:p>
    <w:p>
      <w:pPr>
        <w:spacing w:line="300" w:lineRule="auto" w:after="360"/>
        <w:ind/>
        <w:jc w:val="center"/>
      </w:pPr>
      <w:r>
        <w:rPr>
          <w:rFonts w:ascii="宋体" w:hAnsi="宋体" w:eastAsia="宋体"/>
          <w:b w:val="0"/>
          <w:color w:val="2F3437"/>
          <w:sz w:val="22"/>
        </w:rPr>
        <w:t>提交日期：2026年5月26日</w:t>
      </w:r>
    </w:p>
    <w:p>
      <w:pPr>
        <w:spacing w:before="360"/>
        <w:jc w:val="center"/>
      </w:pPr>
      <w:r>
        <w:rPr>
          <w:rFonts w:ascii="宋体" w:hAnsi="宋体" w:eastAsia="宋体"/>
          <w:b w:val="0"/>
          <w:color w:val="2F3437"/>
          <w:sz w:val="22"/>
        </w:rPr>
        <w:t>调查对象：C5教学楼门前六块草坪</w:t>
      </w:r>
    </w:p>
    <w:p>
      <w:pPr>
        <w:spacing w:before="160" w:after="480"/>
        <w:jc w:val="center"/>
        <w:shd w:fill="EAF4EF"/>
      </w:pPr>
      <w:r>
        <w:rPr>
          <w:rFonts w:ascii="宋体" w:hAnsi="宋体" w:eastAsia="宋体"/>
          <w:b w:val="0"/>
          <w:color w:val="2F3437"/>
          <w:sz w:val="22"/>
        </w:rPr>
        <w:t>样方数量：25个    总面积：6300.68 m²    估计总数：545,722株/簇</w:t>
      </w:r>
    </w:p>
    <w:p>
      <w:pPr>
        <w:spacing w:line="300" w:lineRule="auto"/>
        <w:ind w:firstLine="420"/>
      </w:pPr>
      <w:r>
        <w:rPr>
          <w:rFonts w:ascii="宋体" w:hAnsi="宋体" w:eastAsia="宋体"/>
        </w:rPr>
        <w:br w:type="page"/>
      </w:r>
    </w:p>
    <w:p>
      <w:pPr>
        <w:spacing w:before="480" w:after="360"/>
        <w:jc w:val="center"/>
      </w:pPr>
      <w:r>
        <w:rPr>
          <w:rFonts w:ascii="宋体" w:hAnsi="宋体" w:eastAsia="宋体"/>
          <w:b w:val="0"/>
          <w:color w:val="2F3437"/>
          <w:sz w:val="22"/>
        </w:rPr>
        <w:t>目 录</w:t>
      </w:r>
    </w:p>
    <w:p>
      <w:pPr>
        <w:spacing w:after="240"/>
      </w:pPr>
      <w:r>
        <w:fldChar w:fldCharType="begin"/>
      </w:r>
      <w:r>
        <w:instrText xml:space="preserve">TOC \o "1-3" \h \z \u</w:instrText>
      </w:r>
      <w:r>
        <w:fldChar w:fldCharType="separate"/>
      </w:r>
      <w:r>
        <w:rPr>
          <w:rFonts w:ascii="宋体" w:hAnsi="宋体" w:eastAsia="宋体"/>
          <w:color w:val="5F6970"/>
          <w:sz w:val="20"/>
        </w:rPr>
        <w:t>目录将在打开文档时自动更新</w:t>
      </w:r>
      <w:r>
        <w:fldChar w:fldCharType="end"/>
      </w:r>
    </w:p>
    <w:p>
      <w:r>
        <w:br w:type="page"/>
      </w:r>
    </w:p>
    <w:p>
      <w:pPr>
        <w:pStyle w:val="Heading1"/>
      </w:pPr>
      <w:r>
        <w:rPr>
          <w:rFonts w:ascii="黑体" w:hAnsi="黑体" w:eastAsia="黑体"/>
          <w:b/>
          <w:color w:val="2F5D50"/>
          <w:sz w:val="30"/>
        </w:rPr>
        <w:t>摘 要</w:t>
      </w:r>
    </w:p>
    <w:p>
      <w:pPr>
        <w:spacing w:line="300" w:lineRule="auto"/>
        <w:ind w:firstLine="420"/>
      </w:pPr>
      <w:r>
        <w:rPr>
          <w:rFonts w:ascii="宋体" w:hAnsi="宋体" w:eastAsia="宋体"/>
          <w:b w:val="0"/>
          <w:color w:val="2F3437"/>
          <w:sz w:val="22"/>
        </w:rPr>
        <w:t>本报告针对中国石油大学（北京）克拉玛依校区C5教学楼门前草坪开展草本植物数量抽样调查。调查区域由道路、铺砖步道和花坛边缘围合，并根据实际被步道分割的空间形态划分为六块草坪。现场采用1 m × 1 m样方进行实地计数，共获得25个有效样方，并保存每个样方照片和电子原始记录。考虑六块草坪面积差异较大，统计分析采用分层面积加权估计方法：先计算各区域样方平均密度，再按谷歌地图面积测量结果加权估计总体总数。计算结果显示，C5门前草坪草本植物平均密度约为86.61株/平方米，草本植物总数估计为545,722株，95%近似置信区间为[431,996, 659,448]株。报告同时讨论了样本量、样方布设、边界判定、人工计数等因素对结果的影响，并提出后续调查改进建议。</w:t>
      </w:r>
    </w:p>
    <w:p>
      <w:pPr>
        <w:spacing w:line="300" w:lineRule="auto"/>
        <w:ind w:firstLine="420"/>
      </w:pPr>
      <w:r>
        <w:rPr>
          <w:rFonts w:ascii="宋体" w:hAnsi="宋体" w:eastAsia="宋体"/>
          <w:b w:val="0"/>
          <w:color w:val="2F3437"/>
          <w:sz w:val="22"/>
        </w:rPr>
        <w:t>关键词：样方法；分层抽样；系统布点；草坪草数量；总体总量估计</w:t>
      </w:r>
    </w:p>
    <w:p>
      <w:pPr>
        <w:pStyle w:val="Heading1"/>
      </w:pPr>
      <w:r>
        <w:rPr>
          <w:rFonts w:ascii="黑体" w:hAnsi="黑体" w:eastAsia="黑体"/>
          <w:b/>
          <w:color w:val="2F5D50"/>
          <w:sz w:val="30"/>
        </w:rPr>
        <w:t>一、引言</w:t>
      </w:r>
    </w:p>
    <w:p>
      <w:pPr>
        <w:pStyle w:val="Heading2"/>
      </w:pPr>
      <w:r>
        <w:rPr>
          <w:rFonts w:ascii="黑体" w:hAnsi="黑体" w:eastAsia="黑体"/>
          <w:b/>
          <w:color w:val="568072"/>
          <w:sz w:val="25"/>
        </w:rPr>
        <w:t>1.1 调查背景</w:t>
      </w:r>
    </w:p>
    <w:p>
      <w:pPr>
        <w:spacing w:line="300" w:lineRule="auto"/>
        <w:ind w:firstLine="420"/>
      </w:pPr>
      <w:r>
        <w:rPr>
          <w:rFonts w:ascii="宋体" w:hAnsi="宋体" w:eastAsia="宋体"/>
          <w:b w:val="0"/>
          <w:color w:val="2F3437"/>
          <w:sz w:val="22"/>
        </w:rPr>
        <w:t>抽样调查是统计学和数据分析中的重要方法。在调查对象数量较多、全面清点成本较高或实施难度较大时，可以通过科学抽样估计总体特征。本次课程结课实战任务以校园内C5教学楼门前草坪为真实调查对象，需要完整经历总体界定、抽样方案设计、现场采样、数据整理、统计估计和误差分析的过程。草坪中草本植物分布并不完全均匀，局部位置受光照、浇灌、踩踏和裸地影响较明显，因此直接用少数观察点代表全部区域可能产生偏差，需要采用规范的样方抽样方法。</w:t>
      </w:r>
    </w:p>
    <w:p>
      <w:pPr>
        <w:pStyle w:val="Heading2"/>
      </w:pPr>
      <w:r>
        <w:rPr>
          <w:rFonts w:ascii="黑体" w:hAnsi="黑体" w:eastAsia="黑体"/>
          <w:b/>
          <w:color w:val="568072"/>
          <w:sz w:val="25"/>
        </w:rPr>
        <w:t>1.2 调查目的</w:t>
      </w:r>
    </w:p>
    <w:p>
      <w:pPr>
        <w:spacing w:line="300" w:lineRule="auto"/>
        <w:ind w:firstLine="420"/>
      </w:pPr>
      <w:r>
        <w:rPr>
          <w:rFonts w:ascii="宋体" w:hAnsi="宋体" w:eastAsia="宋体"/>
          <w:b w:val="0"/>
          <w:color w:val="2F3437"/>
          <w:sz w:val="22"/>
        </w:rPr>
        <w:t>本次调查的主要目的包括：第一，明确C5门前草坪的调查边界和“草的数量”的可操作定义；第二，设计并实施符合现场条件的样方抽样方案；第三，根据25个1平方米样方数据估计草坪草本植物总数；第四，分析抽样误差与非抽样误差，评价方案合理性，并为以后类似小尺度生态或校园场地调查提供参考。</w:t>
      </w:r>
    </w:p>
    <w:p>
      <w:pPr>
        <w:pStyle w:val="Heading1"/>
      </w:pPr>
      <w:r>
        <w:rPr>
          <w:rFonts w:ascii="黑体" w:hAnsi="黑体" w:eastAsia="黑体"/>
          <w:b/>
          <w:color w:val="2F5D50"/>
          <w:sz w:val="30"/>
        </w:rPr>
        <w:t>二、调查对象与总体界定</w:t>
      </w:r>
    </w:p>
    <w:p>
      <w:pPr>
        <w:pStyle w:val="Heading2"/>
      </w:pPr>
      <w:r>
        <w:rPr>
          <w:rFonts w:ascii="黑体" w:hAnsi="黑体" w:eastAsia="黑体"/>
          <w:b/>
          <w:color w:val="568072"/>
          <w:sz w:val="25"/>
        </w:rPr>
        <w:t>2.1 调查区域与边界</w:t>
      </w:r>
    </w:p>
    <w:p>
      <w:pPr>
        <w:spacing w:line="300" w:lineRule="auto"/>
        <w:ind w:firstLine="420"/>
        <w:keepNext/>
        <w:keepLines/>
      </w:pPr>
      <w:r>
        <w:rPr>
          <w:rFonts w:ascii="宋体" w:hAnsi="宋体" w:eastAsia="宋体"/>
          <w:b w:val="0"/>
          <w:color w:val="2F3437"/>
          <w:sz w:val="22"/>
        </w:rPr>
        <w:t>调查地点为C5教学楼门前草坪。实地观察发现，该草坪被道路和步道分割为六个相对独立的草坪区域，本文分别记为区域一至区域六。边界划定以硬质铺装边缘、道路边缘、花坛边缘等稳定可识别界线为准；边界线上草本植物按照“根颈中心落在边界内则计入”的规则处理。六块草坪面积不是现场测绘所得，而是在谷歌地图中使用地图测量软件沿道路、步道和花坛等边界圈定后计算得到，面积合计为6300.68 m²。</w:t>
      </w:r>
    </w:p>
    <w:tbl>
      <w:tblPr>
        <w:tblStyle w:val="TableGrid"/>
        <w:tblW w:type="auto" w:w="0"/>
        <w:tblLook w:firstColumn="1" w:firstRow="1" w:lastColumn="0" w:lastRow="0" w:noHBand="0" w:noVBand="1" w:val="04A0"/>
        <w:jc w:val="center"/>
        <w:tblCellMar>
          <w:top w:w="45" w:type="dxa"/>
          <w:bottom w:w="45" w:type="dxa"/>
          <w:left w:w="60" w:type="dxa"/>
          <w:right w:w="60" w:type="dxa"/>
        </w:tblCellMar>
      </w:tblPr>
      <w:tblGrid>
        <w:gridCol w:w="2351"/>
        <w:gridCol w:w="2351"/>
        <w:gridCol w:w="2351"/>
        <w:gridCol w:w="2351"/>
      </w:tblGrid>
      <w:tr>
        <w:trPr>
          <w:cantSplit/>
          <w:trHeight w:val="300" w:hRule="atLeast"/>
        </w:trPr>
        <w:tc>
          <w:tcPr>
            <w:tcW w:type="dxa" w:w="2351"/>
            <w:vAlign w:val="center"/>
            <w:shd w:fill="EAF4EF"/>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区域</w:t>
            </w:r>
          </w:p>
        </w:tc>
        <w:tc>
          <w:tcPr>
            <w:tcW w:type="dxa" w:w="2351"/>
            <w:vAlign w:val="center"/>
            <w:shd w:fill="EAF4EF"/>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面积（m²）</w:t>
            </w:r>
          </w:p>
        </w:tc>
        <w:tc>
          <w:tcPr>
            <w:tcW w:type="dxa" w:w="2351"/>
            <w:vAlign w:val="center"/>
            <w:shd w:fill="EAF4EF"/>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面积占比</w:t>
            </w:r>
          </w:p>
        </w:tc>
        <w:tc>
          <w:tcPr>
            <w:tcW w:type="dxa" w:w="2351"/>
            <w:vAlign w:val="center"/>
            <w:shd w:fill="EAF4EF"/>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样方数</w:t>
            </w:r>
          </w:p>
        </w:tc>
      </w:tr>
      <w:tr>
        <w:trPr>
          <w:cantSplit/>
          <w:trHeight w:val="300" w:hRule="atLeast"/>
        </w:trPr>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区域一</w:t>
            </w:r>
          </w:p>
        </w:tc>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158.11</w:t>
            </w:r>
          </w:p>
        </w:tc>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2.51%</w:t>
            </w:r>
          </w:p>
        </w:tc>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1</w:t>
            </w:r>
          </w:p>
        </w:tc>
      </w:tr>
      <w:tr>
        <w:trPr>
          <w:cantSplit/>
          <w:trHeight w:val="300" w:hRule="atLeast"/>
        </w:trPr>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区域二</w:t>
            </w:r>
          </w:p>
        </w:tc>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652.29</w:t>
            </w:r>
          </w:p>
        </w:tc>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10.35%</w:t>
            </w:r>
          </w:p>
        </w:tc>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3</w:t>
            </w:r>
          </w:p>
        </w:tc>
      </w:tr>
      <w:tr>
        <w:trPr>
          <w:cantSplit/>
          <w:trHeight w:val="300" w:hRule="atLeast"/>
        </w:trPr>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区域三</w:t>
            </w:r>
          </w:p>
        </w:tc>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2705.89</w:t>
            </w:r>
          </w:p>
        </w:tc>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42.95%</w:t>
            </w:r>
          </w:p>
        </w:tc>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9</w:t>
            </w:r>
          </w:p>
        </w:tc>
      </w:tr>
      <w:tr>
        <w:trPr>
          <w:cantSplit/>
          <w:trHeight w:val="300" w:hRule="atLeast"/>
        </w:trPr>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区域四</w:t>
            </w:r>
          </w:p>
        </w:tc>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538.34</w:t>
            </w:r>
          </w:p>
        </w:tc>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8.54%</w:t>
            </w:r>
          </w:p>
        </w:tc>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3</w:t>
            </w:r>
          </w:p>
        </w:tc>
      </w:tr>
      <w:tr>
        <w:trPr>
          <w:cantSplit/>
          <w:trHeight w:val="300" w:hRule="atLeast"/>
        </w:trPr>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区域五</w:t>
            </w:r>
          </w:p>
        </w:tc>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246.02</w:t>
            </w:r>
          </w:p>
        </w:tc>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3.90%</w:t>
            </w:r>
          </w:p>
        </w:tc>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2</w:t>
            </w:r>
          </w:p>
        </w:tc>
      </w:tr>
      <w:tr>
        <w:trPr>
          <w:cantSplit/>
          <w:trHeight w:val="300" w:hRule="atLeast"/>
        </w:trPr>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区域六</w:t>
            </w:r>
          </w:p>
        </w:tc>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2000.03</w:t>
            </w:r>
          </w:p>
        </w:tc>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31.74%</w:t>
            </w:r>
          </w:p>
        </w:tc>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7</w:t>
            </w:r>
          </w:p>
        </w:tc>
      </w:tr>
      <w:tr>
        <w:trPr>
          <w:cantSplit/>
          <w:trHeight w:val="300" w:hRule="atLeast"/>
        </w:trPr>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合计</w:t>
            </w:r>
          </w:p>
        </w:tc>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6300.68</w:t>
            </w:r>
          </w:p>
        </w:tc>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100.00%</w:t>
            </w:r>
          </w:p>
        </w:tc>
        <w:tc>
          <w:tcPr>
            <w:tcW w:type="dxa" w:w="2351"/>
            <w:vAlign w:val="center"/>
          </w:tcPr>
          <w:p>
            <w:pPr>
              <w:spacing w:before="0" w:after="0" w:line="240" w:lineRule="auto"/>
              <w:jc w:val="center"/>
              <w:keepNext/>
              <w:keepLines/>
            </w:pPr>
            <w:r>
              <w:rPr>
                <w:rFonts w:ascii="宋体" w:hAnsi="宋体" w:eastAsia="宋体"/>
                <w:sz w:val="18"/>
              </w:rPr>
            </w:r>
            <w:r>
              <w:rPr>
                <w:rFonts w:ascii="宋体" w:hAnsi="宋体" w:eastAsia="宋体"/>
                <w:b w:val="0"/>
                <w:color w:val="2F3437"/>
                <w:sz w:val="18"/>
              </w:rPr>
              <w:t>25</w:t>
            </w:r>
          </w:p>
        </w:tc>
      </w:tr>
    </w:tbl>
    <w:p>
      <w:pPr>
        <w:spacing w:line="300" w:lineRule="auto"/>
        <w:ind/>
        <w:jc w:val="center"/>
        <w:keepLines/>
      </w:pPr>
      <w:r>
        <w:rPr>
          <w:rFonts w:ascii="宋体" w:hAnsi="宋体" w:eastAsia="宋体"/>
          <w:b w:val="0"/>
          <w:color w:val="5F6970"/>
          <w:sz w:val="20"/>
        </w:rPr>
        <w:t>表1 六块草坪地图测量面积与样方分布</w:t>
      </w:r>
    </w:p>
    <w:p>
      <w:pPr>
        <w:jc w:val="center"/>
      </w:pPr>
      <w:r>
        <w:drawing>
          <wp:inline xmlns:a="http://schemas.openxmlformats.org/drawingml/2006/main" xmlns:pic="http://schemas.openxmlformats.org/drawingml/2006/picture">
            <wp:extent cx="5394960" cy="3193527"/>
            <wp:docPr id="8" name="Picture 8"/>
            <wp:cNvGraphicFramePr>
              <a:graphicFrameLocks noChangeAspect="1"/>
            </wp:cNvGraphicFramePr>
            <a:graphic>
              <a:graphicData uri="http://schemas.openxmlformats.org/drawingml/2006/picture">
                <pic:pic>
                  <pic:nvPicPr>
                    <pic:cNvPr id="0" name="area_pie_macaron.png"/>
                    <pic:cNvPicPr/>
                  </pic:nvPicPr>
                  <pic:blipFill>
                    <a:blip r:embed="rId13"/>
                    <a:stretch>
                      <a:fillRect/>
                    </a:stretch>
                  </pic:blipFill>
                  <pic:spPr>
                    <a:xfrm>
                      <a:off x="0" y="0"/>
                      <a:ext cx="5394960" cy="3193527"/>
                    </a:xfrm>
                    <a:prstGeom prst="rect"/>
                  </pic:spPr>
                </pic:pic>
              </a:graphicData>
            </a:graphic>
          </wp:inline>
        </w:drawing>
      </w:r>
    </w:p>
    <w:p>
      <w:pPr>
        <w:jc w:val="center"/>
      </w:pPr>
      <w:r>
        <w:rPr>
          <w:rFonts w:ascii="宋体" w:hAnsi="宋体" w:eastAsia="宋体"/>
          <w:b w:val="0"/>
          <w:color w:val="5F6970"/>
          <w:sz w:val="20"/>
        </w:rPr>
        <w:t>图1 六块草坪面积及占比扇形图</w:t>
      </w:r>
    </w:p>
    <w:p>
      <w:pPr>
        <w:spacing w:line="300" w:lineRule="auto"/>
        <w:ind/>
        <w:jc w:val="center"/>
      </w:pPr>
      <w:r>
        <w:rPr>
          <w:rFonts w:ascii="宋体" w:hAnsi="宋体" w:eastAsia="宋体"/>
        </w:rPr>
        <w:drawing>
          <wp:inline xmlns:a="http://schemas.openxmlformats.org/drawingml/2006/main" xmlns:pic="http://schemas.openxmlformats.org/drawingml/2006/picture">
            <wp:extent cx="5303520" cy="2419643"/>
            <wp:docPr id="1" name="Picture 1"/>
            <wp:cNvGraphicFramePr>
              <a:graphicFrameLocks noChangeAspect="1"/>
            </wp:cNvGraphicFramePr>
            <a:graphic>
              <a:graphicData uri="http://schemas.openxmlformats.org/drawingml/2006/picture">
                <pic:pic>
                  <pic:nvPicPr>
                    <pic:cNvPr id="0" name="c5_area_map.jpg"/>
                    <pic:cNvPicPr/>
                  </pic:nvPicPr>
                  <pic:blipFill>
                    <a:blip r:embed="rId9"/>
                    <a:stretch>
                      <a:fillRect/>
                    </a:stretch>
                  </pic:blipFill>
                  <pic:spPr>
                    <a:xfrm>
                      <a:off x="0" y="0"/>
                      <a:ext cx="5303520" cy="2419643"/>
                    </a:xfrm>
                    <a:prstGeom prst="rect"/>
                  </pic:spPr>
                </pic:pic>
              </a:graphicData>
            </a:graphic>
          </wp:inline>
        </w:drawing>
      </w:r>
    </w:p>
    <w:p>
      <w:pPr>
        <w:spacing w:line="300" w:lineRule="auto"/>
        <w:ind/>
        <w:jc w:val="center"/>
      </w:pPr>
      <w:r>
        <w:rPr>
          <w:rFonts w:ascii="宋体" w:hAnsi="宋体" w:eastAsia="宋体"/>
          <w:b w:val="0"/>
          <w:color w:val="5F6970"/>
          <w:sz w:val="20"/>
        </w:rPr>
        <w:t>图2 C5门前草坪区域划分图</w:t>
      </w:r>
    </w:p>
    <w:p>
      <w:pPr>
        <w:spacing w:line="300" w:lineRule="auto"/>
        <w:ind/>
        <w:jc w:val="center"/>
      </w:pPr>
      <w:r>
        <w:rPr>
          <w:rFonts w:ascii="宋体" w:hAnsi="宋体" w:eastAsia="宋体"/>
        </w:rPr>
        <w:drawing>
          <wp:inline xmlns:a="http://schemas.openxmlformats.org/drawingml/2006/main" xmlns:pic="http://schemas.openxmlformats.org/drawingml/2006/picture">
            <wp:extent cx="4206240" cy="3153963"/>
            <wp:docPr id="2" name="Picture 2"/>
            <wp:cNvGraphicFramePr>
              <a:graphicFrameLocks noChangeAspect="1"/>
            </wp:cNvGraphicFramePr>
            <a:graphic>
              <a:graphicData uri="http://schemas.openxmlformats.org/drawingml/2006/picture">
                <pic:pic>
                  <pic:nvPicPr>
                    <pic:cNvPr id="0" name="handdraw_map.jpg"/>
                    <pic:cNvPicPr/>
                  </pic:nvPicPr>
                  <pic:blipFill>
                    <a:blip r:embed="rId10"/>
                    <a:stretch>
                      <a:fillRect/>
                    </a:stretch>
                  </pic:blipFill>
                  <pic:spPr>
                    <a:xfrm>
                      <a:off x="0" y="0"/>
                      <a:ext cx="4206240" cy="3153963"/>
                    </a:xfrm>
                    <a:prstGeom prst="rect"/>
                  </pic:spPr>
                </pic:pic>
              </a:graphicData>
            </a:graphic>
          </wp:inline>
        </w:drawing>
      </w:r>
    </w:p>
    <w:p>
      <w:pPr>
        <w:spacing w:line="300" w:lineRule="auto"/>
        <w:ind/>
        <w:jc w:val="center"/>
      </w:pPr>
      <w:r>
        <w:rPr>
          <w:rFonts w:ascii="宋体" w:hAnsi="宋体" w:eastAsia="宋体"/>
          <w:b w:val="0"/>
          <w:color w:val="5F6970"/>
          <w:sz w:val="20"/>
        </w:rPr>
        <w:t>图3 草坪区域草图</w:t>
      </w:r>
    </w:p>
    <w:p>
      <w:pPr>
        <w:pStyle w:val="Heading2"/>
      </w:pPr>
      <w:r>
        <w:rPr>
          <w:rFonts w:ascii="黑体" w:hAnsi="黑体" w:eastAsia="黑体"/>
          <w:b/>
          <w:color w:val="568072"/>
          <w:sz w:val="25"/>
        </w:rPr>
        <w:t>2.2 调查总体</w:t>
      </w:r>
    </w:p>
    <w:p>
      <w:pPr>
        <w:spacing w:line="300" w:lineRule="auto"/>
        <w:ind w:firstLine="420"/>
      </w:pPr>
      <w:r>
        <w:rPr>
          <w:rFonts w:ascii="宋体" w:hAnsi="宋体" w:eastAsia="宋体"/>
          <w:b w:val="0"/>
          <w:color w:val="2F3437"/>
          <w:sz w:val="22"/>
        </w:rPr>
        <w:t>调查总体为上述边界内、调查时点存在的全部草本植物计数单位。这里的“草本植物”包括草坪草和实地可见的低矮杂草，但不包括乔木、灌木、枯枝落叶、石块和裸地。由于部分植物丛生或匍匐生长，完全按生物学单株区分难度较高，因此本报告采用“株/簇”作为统一计数单位。</w:t>
      </w:r>
    </w:p>
    <w:p>
      <w:pPr>
        <w:pStyle w:val="Heading2"/>
      </w:pPr>
      <w:r>
        <w:rPr>
          <w:rFonts w:ascii="黑体" w:hAnsi="黑体" w:eastAsia="黑体"/>
          <w:b/>
          <w:color w:val="568072"/>
          <w:sz w:val="25"/>
        </w:rPr>
        <w:t>2.3 调查单位与草数量定义</w:t>
      </w:r>
    </w:p>
    <w:p>
      <w:pPr>
        <w:spacing w:line="300" w:lineRule="auto"/>
        <w:ind w:firstLine="420"/>
      </w:pPr>
      <w:r>
        <w:rPr>
          <w:rFonts w:ascii="宋体" w:hAnsi="宋体" w:eastAsia="宋体"/>
          <w:b w:val="0"/>
          <w:color w:val="2F3437"/>
          <w:sz w:val="22"/>
        </w:rPr>
        <w:t>调查单位为1 m × 1 m的正方形样方，即每个样方面积为1 m²。独立成株且可辨认根颈的草本植物按1株计数；丛生、匍匐或密不可分的草本植物按可辨识草簇计数，1簇记为1个计数单位；落在样方边界上的植物按根颈中心是否位于样方内判断，避免同一株或同一簇被重复计入。</w:t>
      </w:r>
    </w:p>
    <w:p>
      <w:pPr>
        <w:pStyle w:val="Heading2"/>
      </w:pPr>
      <w:r>
        <w:rPr>
          <w:rFonts w:ascii="黑体" w:hAnsi="黑体" w:eastAsia="黑体"/>
          <w:b/>
          <w:color w:val="568072"/>
          <w:sz w:val="25"/>
        </w:rPr>
        <w:t>2.4 调查时间与工具</w:t>
      </w:r>
    </w:p>
    <w:p>
      <w:pPr>
        <w:spacing w:line="300" w:lineRule="auto"/>
        <w:ind w:firstLine="420"/>
      </w:pPr>
      <w:r>
        <w:rPr>
          <w:rFonts w:ascii="宋体" w:hAnsi="宋体" w:eastAsia="宋体"/>
          <w:b w:val="0"/>
          <w:color w:val="2F3437"/>
          <w:sz w:val="22"/>
        </w:rPr>
        <w:t>实地调查日期为2026年5月24日，调查时段为傍晚。当时自然光仍能满足识别样方边界和草本植物形态的需要，且现场人员干扰较少，便于逐样方拍照和计数。采样工具包括卷尺、风筝线、筷子制成的临时样方框、手机相机和电子记录表。样方框边长为1米，放置后先拍照，再按统一规则人工计数。</w:t>
      </w:r>
    </w:p>
    <w:p>
      <w:pPr>
        <w:spacing w:line="300" w:lineRule="auto"/>
        <w:ind/>
        <w:jc w:val="center"/>
      </w:pPr>
      <w:r>
        <w:rPr>
          <w:rFonts w:ascii="宋体" w:hAnsi="宋体" w:eastAsia="宋体"/>
        </w:rPr>
        <w:drawing>
          <wp:inline xmlns:a="http://schemas.openxmlformats.org/drawingml/2006/main" xmlns:pic="http://schemas.openxmlformats.org/drawingml/2006/picture">
            <wp:extent cx="3886200" cy="2915378"/>
            <wp:docPr id="3" name="Picture 3"/>
            <wp:cNvGraphicFramePr>
              <a:graphicFrameLocks noChangeAspect="1"/>
            </wp:cNvGraphicFramePr>
            <a:graphic>
              <a:graphicData uri="http://schemas.openxmlformats.org/drawingml/2006/picture">
                <pic:pic>
                  <pic:nvPicPr>
                    <pic:cNvPr id="0" name="sampling_tool.jpg"/>
                    <pic:cNvPicPr/>
                  </pic:nvPicPr>
                  <pic:blipFill>
                    <a:blip r:embed="rId11"/>
                    <a:stretch>
                      <a:fillRect/>
                    </a:stretch>
                  </pic:blipFill>
                  <pic:spPr>
                    <a:xfrm>
                      <a:off x="0" y="0"/>
                      <a:ext cx="3886200" cy="2915378"/>
                    </a:xfrm>
                    <a:prstGeom prst="rect"/>
                  </pic:spPr>
                </pic:pic>
              </a:graphicData>
            </a:graphic>
          </wp:inline>
        </w:drawing>
      </w:r>
    </w:p>
    <w:p>
      <w:pPr>
        <w:spacing w:line="300" w:lineRule="auto"/>
        <w:ind/>
        <w:jc w:val="center"/>
      </w:pPr>
      <w:r>
        <w:rPr>
          <w:rFonts w:ascii="宋体" w:hAnsi="宋体" w:eastAsia="宋体"/>
          <w:b w:val="0"/>
          <w:color w:val="5F6970"/>
          <w:sz w:val="20"/>
        </w:rPr>
        <w:t>图4 1 m × 1 m样方框制作工具</w:t>
      </w:r>
    </w:p>
    <w:p>
      <w:pPr>
        <w:spacing w:line="300" w:lineRule="auto"/>
        <w:ind/>
        <w:jc w:val="center"/>
      </w:pPr>
      <w:r>
        <w:rPr>
          <w:rFonts w:ascii="宋体" w:hAnsi="宋体" w:eastAsia="宋体"/>
        </w:rPr>
        <w:drawing>
          <wp:inline xmlns:a="http://schemas.openxmlformats.org/drawingml/2006/main" xmlns:pic="http://schemas.openxmlformats.org/drawingml/2006/picture">
            <wp:extent cx="5623560" cy="1463334"/>
            <wp:docPr id="4" name="Picture 4"/>
            <wp:cNvGraphicFramePr>
              <a:graphicFrameLocks noChangeAspect="1"/>
            </wp:cNvGraphicFramePr>
            <a:graphic>
              <a:graphicData uri="http://schemas.openxmlformats.org/drawingml/2006/picture">
                <pic:pic>
                  <pic:nvPicPr>
                    <pic:cNvPr id="0" name="panorama_collage.jpg"/>
                    <pic:cNvPicPr/>
                  </pic:nvPicPr>
                  <pic:blipFill>
                    <a:blip r:embed="rId12"/>
                    <a:stretch>
                      <a:fillRect/>
                    </a:stretch>
                  </pic:blipFill>
                  <pic:spPr>
                    <a:xfrm>
                      <a:off x="0" y="0"/>
                      <a:ext cx="5623560" cy="1463334"/>
                    </a:xfrm>
                    <a:prstGeom prst="rect"/>
                  </pic:spPr>
                </pic:pic>
              </a:graphicData>
            </a:graphic>
          </wp:inline>
        </w:drawing>
      </w:r>
    </w:p>
    <w:p>
      <w:pPr>
        <w:spacing w:line="300" w:lineRule="auto"/>
        <w:ind/>
        <w:jc w:val="center"/>
      </w:pPr>
      <w:r>
        <w:rPr>
          <w:rFonts w:ascii="宋体" w:hAnsi="宋体" w:eastAsia="宋体"/>
          <w:b w:val="0"/>
          <w:color w:val="5F6970"/>
          <w:sz w:val="20"/>
        </w:rPr>
        <w:t>图5 六块草坪现场俯拍照片</w:t>
      </w:r>
    </w:p>
    <w:p>
      <w:pPr>
        <w:pStyle w:val="Heading1"/>
      </w:pPr>
      <w:r>
        <w:rPr>
          <w:rFonts w:ascii="黑体" w:hAnsi="黑体" w:eastAsia="黑体"/>
          <w:b/>
          <w:color w:val="2F5D50"/>
          <w:sz w:val="30"/>
        </w:rPr>
        <w:t>三、抽样方案设计</w:t>
      </w:r>
    </w:p>
    <w:p>
      <w:pPr>
        <w:pStyle w:val="Heading2"/>
      </w:pPr>
      <w:r>
        <w:rPr>
          <w:rFonts w:ascii="黑体" w:hAnsi="黑体" w:eastAsia="黑体"/>
          <w:b/>
          <w:color w:val="568072"/>
          <w:sz w:val="25"/>
        </w:rPr>
        <w:t>3.1 抽样方法选择</w:t>
      </w:r>
    </w:p>
    <w:p>
      <w:pPr>
        <w:spacing w:line="300" w:lineRule="auto"/>
        <w:ind w:firstLine="420"/>
      </w:pPr>
      <w:r>
        <w:rPr>
          <w:rFonts w:ascii="宋体" w:hAnsi="宋体" w:eastAsia="宋体"/>
          <w:b w:val="0"/>
          <w:color w:val="2F3437"/>
          <w:sz w:val="22"/>
        </w:rPr>
        <w:t>结合现场实际，本报告采用“分层样方法 + 层内系统布点”的抽样思路。分层依据是草坪被道路和步道自然分割形成的六块区域。该设计比单纯简单随机抽样更适合本场景：一方面，六块草坪面积差异明显，区域三和区域六占总面积的大部分，必须按面积权重汇总；另一方面，不同区域受踩踏、灌溉、边缘铺装和裸地影响不同，草密度存在空间差异，分层后可以降低区域差异造成的估计偏差。层内采用近似系统布点，是为了使样方在每块草坪内尽量均匀覆盖，避免只选择容易观察或草较密的位置。</w:t>
      </w:r>
    </w:p>
    <w:p>
      <w:pPr>
        <w:pStyle w:val="Heading2"/>
      </w:pPr>
      <w:r>
        <w:rPr>
          <w:rFonts w:ascii="黑体" w:hAnsi="黑体" w:eastAsia="黑体"/>
          <w:b/>
          <w:color w:val="568072"/>
          <w:sz w:val="25"/>
        </w:rPr>
        <w:t>3.2 样方大小与样本量</w:t>
      </w:r>
    </w:p>
    <w:p>
      <w:pPr>
        <w:spacing w:line="300" w:lineRule="auto"/>
        <w:ind w:firstLine="420"/>
      </w:pPr>
      <w:r>
        <w:rPr>
          <w:rFonts w:ascii="宋体" w:hAnsi="宋体" w:eastAsia="宋体"/>
          <w:b w:val="0"/>
          <w:color w:val="2F3437"/>
          <w:sz w:val="22"/>
        </w:rPr>
        <w:t>预调查发现，1 m²样方内草本植物数量大多处在几十到一百多株之间，人工计数可完成，且能够反映局部密度差异。因此确定每个样方为1 m × 1 m。综合课程作业时间、现场计数工作量和估计精度，本次共布设25个样方。样方分配兼顾面积比例和小区域覆盖：区域三、区域六面积最大，分别布设9个和7个样方；区域一、区域五面积较小，但仍至少布设1至2个样方，以避免小区域完全缺样。这样的分配不是严格等比例分配，而是在可操作性和代表性之间取得平衡。</w:t>
      </w:r>
    </w:p>
    <w:p>
      <w:pPr>
        <w:pStyle w:val="Heading2"/>
      </w:pPr>
      <w:r>
        <w:rPr>
          <w:rFonts w:ascii="黑体" w:hAnsi="黑体" w:eastAsia="黑体"/>
          <w:b/>
          <w:color w:val="568072"/>
          <w:sz w:val="25"/>
        </w:rPr>
        <w:t>3.3 层内布设方式</w:t>
      </w:r>
    </w:p>
    <w:p>
      <w:pPr>
        <w:spacing w:line="300" w:lineRule="auto"/>
        <w:ind w:firstLine="420"/>
      </w:pPr>
      <w:r>
        <w:rPr>
          <w:rFonts w:ascii="宋体" w:hAnsi="宋体" w:eastAsia="宋体"/>
          <w:b w:val="0"/>
          <w:color w:val="2F3437"/>
          <w:sz w:val="22"/>
        </w:rPr>
        <w:t>各区域内先沿较长方向确定观测路线，再按大致相等间隔布设样方中心；起点尽量避开人为主观选择，并结合实地可进入性进行微调。遇到道路边缘、树木根部、裸地或硬质障碍时，样方整体平移到最近可完整放置的位置，并记录为同一区域内样方。层内布点遵循“均匀覆盖、规则一致、编号可追溯”的原则：样方编号与照片编号一致，所属区域与原始记录表一致。该方式既保证空间覆盖，又减少主观挑选样点带来的非抽样偏差。</w:t>
      </w:r>
    </w:p>
    <w:p>
      <w:pPr>
        <w:pStyle w:val="Heading2"/>
      </w:pPr>
      <w:r>
        <w:rPr>
          <w:rFonts w:ascii="黑体" w:hAnsi="黑体" w:eastAsia="黑体"/>
          <w:b/>
          <w:color w:val="568072"/>
          <w:sz w:val="25"/>
        </w:rPr>
        <w:t>3.4 现场实施步骤</w:t>
      </w:r>
    </w:p>
    <w:p>
      <w:pPr>
        <w:spacing w:line="300" w:lineRule="auto"/>
        <w:ind w:firstLine="420"/>
      </w:pPr>
      <w:r>
        <w:rPr>
          <w:rFonts w:ascii="宋体" w:hAnsi="宋体" w:eastAsia="宋体"/>
          <w:b w:val="0"/>
          <w:color w:val="2F3437"/>
          <w:sz w:val="22"/>
        </w:rPr>
        <w:t>现场实施过程包括：根据谷歌地图测量结果和现场边界实况核对六块草坪范围；按区域编号布设样方；放置1 m × 1 m样方框；拍摄样方照片；按株/簇定义逐一计数；将样方编号、所属区域、草数量录入电子表格；最后核对照片编号与记录表编号是否一致。对于边界样方，统一采用根颈中心判定规则，避免重复计数或漏计。</w:t>
      </w:r>
    </w:p>
    <w:p>
      <w:pPr>
        <w:pStyle w:val="Heading1"/>
      </w:pPr>
      <w:r>
        <w:rPr>
          <w:rFonts w:ascii="黑体" w:hAnsi="黑体" w:eastAsia="黑体"/>
          <w:b/>
          <w:color w:val="2F5D50"/>
          <w:sz w:val="30"/>
        </w:rPr>
        <w:t>四、调查实施与原始数据</w:t>
      </w:r>
    </w:p>
    <w:p>
      <w:pPr>
        <w:pStyle w:val="Heading2"/>
      </w:pPr>
      <w:r>
        <w:rPr>
          <w:rFonts w:ascii="黑体" w:hAnsi="黑体" w:eastAsia="黑体"/>
          <w:b/>
          <w:color w:val="568072"/>
          <w:sz w:val="25"/>
        </w:rPr>
        <w:t>4.1 实地调查记录</w:t>
      </w:r>
    </w:p>
    <w:p>
      <w:pPr>
        <w:spacing w:line="300" w:lineRule="auto"/>
        <w:ind w:firstLine="420"/>
        <w:keepNext/>
        <w:keepLines/>
      </w:pPr>
      <w:r>
        <w:rPr>
          <w:rFonts w:ascii="宋体" w:hAnsi="宋体" w:eastAsia="宋体"/>
          <w:b w:val="0"/>
          <w:color w:val="2F3437"/>
          <w:sz w:val="22"/>
        </w:rPr>
        <w:t>本次调查共记录25个样方，全部为有效样方。每个样方都有对应照片，原始电子表格文件为“2024017349_李倩倩_原始数据.xlsx”。下表为完整样方计数记录，计数单位为株/簇。</w:t>
      </w:r>
    </w:p>
    <w:tbl>
      <w:tblPr>
        <w:tblStyle w:val="TableGrid"/>
        <w:tblW w:type="auto" w:w="0"/>
        <w:tblLook w:firstColumn="1" w:firstRow="1" w:lastColumn="0" w:lastRow="0" w:noHBand="0" w:noVBand="1" w:val="04A0"/>
        <w:jc w:val="center"/>
        <w:tblCellMar>
          <w:top w:w="45" w:type="dxa"/>
          <w:bottom w:w="45" w:type="dxa"/>
          <w:left w:w="60" w:type="dxa"/>
          <w:right w:w="60" w:type="dxa"/>
        </w:tblCellMar>
      </w:tblPr>
      <w:tblGrid>
        <w:gridCol w:w="3135"/>
        <w:gridCol w:w="3135"/>
        <w:gridCol w:w="3135"/>
      </w:tblGrid>
      <w:tr>
        <w:trPr>
          <w:cantSplit/>
          <w:trHeight w:val="260" w:hRule="atLeast"/>
        </w:trPr>
        <w:tc>
          <w:tcPr>
            <w:tcW w:type="dxa" w:w="3135"/>
            <w:vAlign w:val="center"/>
            <w:shd w:fill="EAF4EF"/>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样方编号</w:t>
            </w:r>
          </w:p>
        </w:tc>
        <w:tc>
          <w:tcPr>
            <w:tcW w:type="dxa" w:w="3135"/>
            <w:vAlign w:val="center"/>
            <w:shd w:fill="EAF4EF"/>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所属区域</w:t>
            </w:r>
          </w:p>
        </w:tc>
        <w:tc>
          <w:tcPr>
            <w:tcW w:type="dxa" w:w="3135"/>
            <w:vAlign w:val="center"/>
            <w:shd w:fill="EAF4EF"/>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草数量（株/簇）</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1</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区域一</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118</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2</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区域二</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18</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3</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区域二</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66</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4</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区域二</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76</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5</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区域三</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12</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6</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区域三</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55</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7</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区域三</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83</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8</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区域三</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132</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9</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区域三</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145</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10</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区域三</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98</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11</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区域三</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84</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12</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区域三</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34</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13</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区域三</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168</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14</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区域四</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74</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15</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区域四</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33</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16</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区域四</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141</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17</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区域五</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21</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18</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区域五</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90</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19</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区域六</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69</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20</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区域六</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47</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21</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区域六</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94</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22</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区域六</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73</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23</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区域六</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126</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24</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区域六</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132</w:t>
            </w:r>
          </w:p>
        </w:tc>
      </w:tr>
      <w:tr>
        <w:trPr>
          <w:cantSplit/>
          <w:trHeight w:val="260" w:hRule="atLeast"/>
        </w:trPr>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25</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区域六</w:t>
            </w:r>
          </w:p>
        </w:tc>
        <w:tc>
          <w:tcPr>
            <w:tcW w:type="dxa" w:w="3135"/>
            <w:vAlign w:val="center"/>
          </w:tcPr>
          <w:p>
            <w:pPr>
              <w:spacing w:before="0" w:after="0" w:line="240" w:lineRule="auto"/>
              <w:jc w:val="center"/>
              <w:keepNext/>
              <w:keepLines/>
            </w:pPr>
            <w:r>
              <w:rPr>
                <w:rFonts w:ascii="宋体" w:hAnsi="宋体" w:eastAsia="宋体"/>
                <w:sz w:val="17"/>
              </w:rPr>
            </w:r>
            <w:r>
              <w:rPr>
                <w:rFonts w:ascii="宋体" w:hAnsi="宋体" w:eastAsia="宋体"/>
                <w:b w:val="0"/>
                <w:color w:val="2F3437"/>
                <w:sz w:val="18"/>
              </w:rPr>
              <w:t>125</w:t>
            </w:r>
          </w:p>
        </w:tc>
      </w:tr>
    </w:tbl>
    <w:p>
      <w:pPr>
        <w:spacing w:line="300" w:lineRule="auto"/>
        <w:ind/>
        <w:jc w:val="center"/>
        <w:keepLines/>
      </w:pPr>
      <w:r>
        <w:rPr>
          <w:rFonts w:ascii="宋体" w:hAnsi="宋体" w:eastAsia="宋体"/>
          <w:b w:val="0"/>
          <w:color w:val="5F6970"/>
          <w:sz w:val="20"/>
        </w:rPr>
        <w:t>表2 25个样方原始计数记录</w:t>
      </w:r>
    </w:p>
    <w:p>
      <w:pPr>
        <w:jc w:val="center"/>
      </w:pPr>
      <w:r>
        <w:drawing>
          <wp:inline xmlns:a="http://schemas.openxmlformats.org/drawingml/2006/main" xmlns:pic="http://schemas.openxmlformats.org/drawingml/2006/picture">
            <wp:extent cx="5623560" cy="4650252"/>
            <wp:docPr id="7" name="Picture 7"/>
            <wp:cNvGraphicFramePr>
              <a:graphicFrameLocks noChangeAspect="1"/>
            </wp:cNvGraphicFramePr>
            <a:graphic>
              <a:graphicData uri="http://schemas.openxmlformats.org/drawingml/2006/picture">
                <pic:pic>
                  <pic:nvPicPr>
                    <pic:cNvPr id="0" name="sample_25_contact_sheet_new.jpg"/>
                    <pic:cNvPicPr/>
                  </pic:nvPicPr>
                  <pic:blipFill>
                    <a:blip r:embed="rId41"/>
                    <a:stretch>
                      <a:fillRect/>
                    </a:stretch>
                  </pic:blipFill>
                  <pic:spPr>
                    <a:xfrm>
                      <a:off x="0" y="0"/>
                      <a:ext cx="5623560" cy="4650252"/>
                    </a:xfrm>
                    <a:prstGeom prst="rect"/>
                  </pic:spPr>
                </pic:pic>
              </a:graphicData>
            </a:graphic>
          </wp:inline>
        </w:drawing>
      </w:r>
    </w:p>
    <w:p>
      <w:pPr>
        <w:jc w:val="center"/>
      </w:pPr>
      <w:r>
        <w:rPr>
          <w:rFonts w:ascii="宋体" w:hAnsi="宋体" w:eastAsia="宋体"/>
          <w:b w:val="0"/>
          <w:color w:val="5F6970"/>
          <w:sz w:val="20"/>
        </w:rPr>
        <w:t>图6 25个样方现场照片拼接图</w:t>
      </w:r>
    </w:p>
    <w:p>
      <w:pPr>
        <w:pStyle w:val="Heading2"/>
      </w:pPr>
      <w:r>
        <w:rPr>
          <w:rFonts w:ascii="黑体" w:hAnsi="黑体" w:eastAsia="黑体"/>
          <w:b/>
          <w:color w:val="568072"/>
          <w:sz w:val="25"/>
        </w:rPr>
        <w:t>4.2 数据质量检查</w:t>
      </w:r>
    </w:p>
    <w:p>
      <w:pPr>
        <w:spacing w:line="300" w:lineRule="auto"/>
        <w:ind w:firstLine="420"/>
      </w:pPr>
      <w:r>
        <w:rPr>
          <w:rFonts w:ascii="宋体" w:hAnsi="宋体" w:eastAsia="宋体"/>
          <w:b w:val="0"/>
          <w:color w:val="2F3437"/>
          <w:sz w:val="22"/>
        </w:rPr>
        <w:t>从原始数据看，样方最小值为12，最大值为168，极差为156，说明草坪内部密度差异较明显。区域三和区域六样本较多，平均密度也较高；区域二和区域五平均密度较低，可能与边缘铺装、踩踏或裸地比例有关。样方编号、区域编号和照片编号能够对应，数据具备可追溯性。数据中没有发现明显录入缺失值或异常编号，因此25个样方全部纳入统计分析。</w:t>
      </w:r>
    </w:p>
    <w:p>
      <w:pPr>
        <w:pStyle w:val="Heading1"/>
      </w:pPr>
      <w:r>
        <w:rPr>
          <w:rFonts w:ascii="黑体" w:hAnsi="黑体" w:eastAsia="黑体"/>
          <w:b/>
          <w:color w:val="2F5D50"/>
          <w:sz w:val="30"/>
        </w:rPr>
        <w:t>五、数据整理与统计分析</w:t>
      </w:r>
    </w:p>
    <w:p>
      <w:pPr>
        <w:pStyle w:val="Heading2"/>
      </w:pPr>
      <w:r>
        <w:rPr>
          <w:rFonts w:ascii="黑体" w:hAnsi="黑体" w:eastAsia="黑体"/>
          <w:b/>
          <w:color w:val="568072"/>
          <w:sz w:val="25"/>
        </w:rPr>
        <w:t>5.1 样本统计量</w:t>
      </w:r>
    </w:p>
    <w:p>
      <w:pPr>
        <w:spacing w:line="300" w:lineRule="auto"/>
        <w:ind w:firstLine="420"/>
      </w:pPr>
      <w:r>
        <w:rPr>
          <w:rFonts w:ascii="宋体" w:hAnsi="宋体" w:eastAsia="宋体"/>
          <w:b w:val="0"/>
          <w:color w:val="2F3437"/>
          <w:sz w:val="22"/>
        </w:rPr>
        <w:t>若不区分区域，25个样方的非加权样本均值为84.56株/m²，样本方差为1883.92，样本标准差为43.40。但由于样本在六个区域中的分布并非完全等比例，且各区域面积差异较大，最终估计采用分层面积加权方法，而不是直接用非加权均值乘总面积。</w:t>
      </w:r>
    </w:p>
    <w:p>
      <w:pPr>
        <w:jc w:val="center"/>
      </w:pPr>
      <m:oMathPara>
        <m:oMathParaPr>
          <m:jc m:val="center"/>
        </m:oMathParaPr>
        <m:oMath>
          <m:acc>
            <m:accPr>
              <m:chr m:val="¯"/>
            </m:accPr>
            <m:e>
              <m:r>
                <m:t xml:space="preserve">y</m:t>
              </m:r>
            </m:e>
          </m:acc>
          <m:r>
            <m:t xml:space="preserve"> = </m:t>
          </m:r>
          <m:f>
            <m:fPr>
              <m:type m:val="bar"/>
            </m:fPr>
            <m:num>
              <m:r>
                <m:t xml:space="preserve">1</m:t>
              </m:r>
            </m:num>
            <m:den>
              <m:r>
                <m:t xml:space="preserve">n</m:t>
              </m:r>
            </m:den>
          </m:f>
          <m:nary>
            <m:naryPr>
              <m:chr m:val="∑"/>
              <m:limLoc m:val="undOvr"/>
            </m:naryPr>
            <m:sub>
              <m:r>
                <m:t xml:space="preserve">i=1</m:t>
              </m:r>
            </m:sub>
            <m:sup>
              <m:r>
                <m:t xml:space="preserve">n</m:t>
              </m:r>
            </m:sup>
            <m:e>
              <m:sSub>
                <m:e>
                  <m:r>
                    <m:t xml:space="preserve">y</m:t>
                  </m:r>
                </m:e>
                <m:sub>
                  <m:r>
                    <m:t xml:space="preserve">i</m:t>
                  </m:r>
                </m:sub>
              </m:sSub>
            </m:e>
          </m:nary>
          <m:r>
            <m:t xml:space="preserve"> = </m:t>
          </m:r>
          <m:f>
            <m:fPr>
              <m:type m:val="bar"/>
            </m:fPr>
            <m:num>
              <m:r>
                <m:t xml:space="preserve">2114</m:t>
              </m:r>
            </m:num>
            <m:den>
              <m:r>
                <m:t xml:space="preserve">25</m:t>
              </m:r>
            </m:den>
          </m:f>
          <m:r>
            <m:t xml:space="preserve"> = 84.56</m:t>
          </m:r>
        </m:oMath>
      </m:oMathPara>
    </w:p>
    <w:p>
      <w:pPr>
        <w:jc w:val="center"/>
      </w:pPr>
      <m:oMathPara>
        <m:oMathParaPr>
          <m:jc m:val="center"/>
        </m:oMathParaPr>
        <m:oMath>
          <m:sSup>
            <m:e>
              <m:r>
                <m:t xml:space="preserve">s</m:t>
              </m:r>
            </m:e>
            <m:sup>
              <m:r>
                <m:t xml:space="preserve">2</m:t>
              </m:r>
            </m:sup>
          </m:sSup>
          <m:r>
            <m:t xml:space="preserve"> = </m:t>
          </m:r>
          <m:f>
            <m:fPr>
              <m:type m:val="bar"/>
            </m:fPr>
            <m:num>
              <m:r>
                <m:t xml:space="preserve">1</m:t>
              </m:r>
            </m:num>
            <m:den>
              <m:r>
                <m:t xml:space="preserve">n−1</m:t>
              </m:r>
            </m:den>
          </m:f>
          <m:nary>
            <m:naryPr>
              <m:chr m:val="∑"/>
              <m:limLoc m:val="undOvr"/>
            </m:naryPr>
            <m:sub>
              <m:r>
                <m:t xml:space="preserve">i=1</m:t>
              </m:r>
            </m:sub>
            <m:sup>
              <m:r>
                <m:t xml:space="preserve">n</m:t>
              </m:r>
            </m:sup>
            <m:e>
              <m:sSup>
                <m:e>
                  <m:r>
                    <m:t xml:space="preserve">(</m:t>
                  </m:r>
                  <m:sSub>
                    <m:e>
                      <m:r>
                        <m:t xml:space="preserve">y</m:t>
                      </m:r>
                    </m:e>
                    <m:sub>
                      <m:r>
                        <m:t xml:space="preserve">i</m:t>
                      </m:r>
                    </m:sub>
                  </m:sSub>
                  <m:r>
                    <m:t xml:space="preserve">−</m:t>
                  </m:r>
                  <m:acc>
                    <m:accPr>
                      <m:chr m:val="¯"/>
                    </m:accPr>
                    <m:e>
                      <m:r>
                        <m:t xml:space="preserve">y</m:t>
                      </m:r>
                    </m:e>
                  </m:acc>
                  <m:r>
                    <m:t xml:space="preserve">)</m:t>
                  </m:r>
                </m:e>
                <m:sup>
                  <m:r>
                    <m:t xml:space="preserve">2</m:t>
                  </m:r>
                </m:sup>
              </m:sSup>
            </m:e>
          </m:nary>
          <m:r>
            <m:t xml:space="preserve"> = 1883.92，  s = 43.40</m:t>
          </m:r>
        </m:oMath>
      </m:oMathPara>
    </w:p>
    <w:tbl>
      <w:tblPr>
        <w:tblStyle w:val="TableGrid"/>
        <w:tblW w:type="auto" w:w="0"/>
        <w:jc w:val="center"/>
        <w:tblLook w:firstColumn="1" w:firstRow="1" w:lastColumn="0" w:lastRow="0" w:noHBand="0" w:noVBand="1" w:val="04A0"/>
      </w:tblPr>
      <w:tblGrid>
        <w:gridCol w:w="1568"/>
        <w:gridCol w:w="1568"/>
        <w:gridCol w:w="1568"/>
        <w:gridCol w:w="1568"/>
        <w:gridCol w:w="1568"/>
        <w:gridCol w:w="1568"/>
      </w:tblGrid>
      <w:tr>
        <w:tc>
          <w:tcPr>
            <w:tcW w:type="dxa" w:w="1568"/>
            <w:vAlign w:val="center"/>
            <w:shd w:fill="EAF4EF"/>
          </w:tcPr>
          <w:p>
            <w:pPr>
              <w:jc w:val="center"/>
            </w:pPr>
            <w:r>
              <w:rPr>
                <w:rFonts w:ascii="宋体" w:hAnsi="宋体" w:eastAsia="宋体"/>
                <w:sz w:val="19"/>
              </w:rPr>
            </w:r>
            <w:r>
              <w:rPr>
                <w:rFonts w:ascii="宋体" w:hAnsi="宋体" w:eastAsia="宋体"/>
                <w:b w:val="0"/>
                <w:color w:val="2F3437"/>
                <w:sz w:val="18"/>
              </w:rPr>
              <w:t>区域</w:t>
            </w:r>
          </w:p>
        </w:tc>
        <w:tc>
          <w:tcPr>
            <w:tcW w:type="dxa" w:w="1568"/>
            <w:vAlign w:val="center"/>
            <w:shd w:fill="EAF4EF"/>
          </w:tcPr>
          <w:p>
            <w:pPr>
              <w:jc w:val="center"/>
            </w:pPr>
            <w:r>
              <w:rPr>
                <w:rFonts w:ascii="宋体" w:hAnsi="宋体" w:eastAsia="宋体"/>
                <w:sz w:val="19"/>
              </w:rPr>
            </w:r>
            <w:r>
              <w:rPr>
                <w:rFonts w:ascii="宋体" w:hAnsi="宋体" w:eastAsia="宋体"/>
                <w:b w:val="0"/>
                <w:color w:val="2F3437"/>
                <w:sz w:val="18"/>
              </w:rPr>
              <w:t>面积A_h（m²）</w:t>
            </w:r>
          </w:p>
        </w:tc>
        <w:tc>
          <w:tcPr>
            <w:tcW w:type="dxa" w:w="1568"/>
            <w:vAlign w:val="center"/>
            <w:shd w:fill="EAF4EF"/>
          </w:tcPr>
          <w:p>
            <w:pPr>
              <w:jc w:val="center"/>
            </w:pPr>
            <w:r>
              <w:rPr>
                <w:rFonts w:ascii="宋体" w:hAnsi="宋体" w:eastAsia="宋体"/>
                <w:sz w:val="19"/>
              </w:rPr>
            </w:r>
            <w:r>
              <w:rPr>
                <w:rFonts w:ascii="宋体" w:hAnsi="宋体" w:eastAsia="宋体"/>
                <w:b w:val="0"/>
                <w:color w:val="2F3437"/>
                <w:sz w:val="18"/>
              </w:rPr>
              <w:t>样方数n_h</w:t>
            </w:r>
          </w:p>
        </w:tc>
        <w:tc>
          <w:tcPr>
            <w:tcW w:type="dxa" w:w="1568"/>
            <w:vAlign w:val="center"/>
            <w:shd w:fill="EAF4EF"/>
          </w:tcPr>
          <w:p>
            <w:pPr>
              <w:jc w:val="center"/>
            </w:pPr>
            <w:r>
              <w:rPr>
                <w:rFonts w:ascii="宋体" w:hAnsi="宋体" w:eastAsia="宋体"/>
                <w:sz w:val="19"/>
              </w:rPr>
            </w:r>
            <w:r>
              <w:rPr>
                <w:rFonts w:ascii="宋体" w:hAnsi="宋体" w:eastAsia="宋体"/>
                <w:b w:val="0"/>
                <w:color w:val="2F3437"/>
                <w:sz w:val="18"/>
              </w:rPr>
              <w:t>均值ȳ_h（株/m²）</w:t>
            </w:r>
          </w:p>
        </w:tc>
        <w:tc>
          <w:tcPr>
            <w:tcW w:type="dxa" w:w="1568"/>
            <w:vAlign w:val="center"/>
            <w:shd w:fill="EAF4EF"/>
          </w:tcPr>
          <w:p>
            <w:pPr>
              <w:jc w:val="center"/>
            </w:pPr>
            <w:r>
              <w:rPr>
                <w:rFonts w:ascii="宋体" w:hAnsi="宋体" w:eastAsia="宋体"/>
                <w:sz w:val="19"/>
              </w:rPr>
            </w:r>
            <w:r>
              <w:rPr>
                <w:rFonts w:ascii="宋体" w:hAnsi="宋体" w:eastAsia="宋体"/>
                <w:b w:val="0"/>
                <w:color w:val="2F3437"/>
                <w:sz w:val="18"/>
              </w:rPr>
              <w:t>方差s_h²</w:t>
            </w:r>
          </w:p>
        </w:tc>
        <w:tc>
          <w:tcPr>
            <w:tcW w:type="dxa" w:w="1568"/>
            <w:vAlign w:val="center"/>
            <w:shd w:fill="EAF4EF"/>
          </w:tcPr>
          <w:p>
            <w:pPr>
              <w:jc w:val="center"/>
            </w:pPr>
            <w:r>
              <w:rPr>
                <w:rFonts w:ascii="宋体" w:hAnsi="宋体" w:eastAsia="宋体"/>
                <w:sz w:val="19"/>
              </w:rPr>
            </w:r>
            <w:r>
              <w:rPr>
                <w:rFonts w:ascii="宋体" w:hAnsi="宋体" w:eastAsia="宋体"/>
                <w:b w:val="0"/>
                <w:color w:val="2F3437"/>
                <w:sz w:val="18"/>
              </w:rPr>
              <w:t>估计总数A_hȳ_h</w:t>
            </w:r>
          </w:p>
        </w:tc>
      </w:tr>
      <w:tr>
        <w:tc>
          <w:tcPr>
            <w:tcW w:type="dxa" w:w="1568"/>
            <w:vAlign w:val="center"/>
          </w:tcPr>
          <w:p>
            <w:pPr>
              <w:jc w:val="center"/>
            </w:pPr>
            <w:r>
              <w:rPr>
                <w:rFonts w:ascii="宋体" w:hAnsi="宋体" w:eastAsia="宋体"/>
                <w:sz w:val="19"/>
              </w:rPr>
            </w:r>
            <w:r>
              <w:rPr>
                <w:rFonts w:ascii="宋体" w:hAnsi="宋体" w:eastAsia="宋体"/>
                <w:b w:val="0"/>
                <w:color w:val="2F3437"/>
                <w:sz w:val="18"/>
              </w:rPr>
              <w:t>区域一</w:t>
            </w:r>
          </w:p>
        </w:tc>
        <w:tc>
          <w:tcPr>
            <w:tcW w:type="dxa" w:w="1568"/>
            <w:vAlign w:val="center"/>
          </w:tcPr>
          <w:p>
            <w:pPr>
              <w:jc w:val="center"/>
            </w:pPr>
            <w:r>
              <w:rPr>
                <w:rFonts w:ascii="宋体" w:hAnsi="宋体" w:eastAsia="宋体"/>
                <w:sz w:val="19"/>
              </w:rPr>
            </w:r>
            <w:r>
              <w:rPr>
                <w:rFonts w:ascii="宋体" w:hAnsi="宋体" w:eastAsia="宋体"/>
                <w:b w:val="0"/>
                <w:color w:val="2F3437"/>
                <w:sz w:val="18"/>
              </w:rPr>
              <w:t>158.11</w:t>
            </w:r>
          </w:p>
        </w:tc>
        <w:tc>
          <w:tcPr>
            <w:tcW w:type="dxa" w:w="1568"/>
            <w:vAlign w:val="center"/>
          </w:tcPr>
          <w:p>
            <w:pPr>
              <w:jc w:val="center"/>
            </w:pPr>
            <w:r>
              <w:rPr>
                <w:rFonts w:ascii="宋体" w:hAnsi="宋体" w:eastAsia="宋体"/>
                <w:sz w:val="19"/>
              </w:rPr>
            </w:r>
            <w:r>
              <w:rPr>
                <w:rFonts w:ascii="宋体" w:hAnsi="宋体" w:eastAsia="宋体"/>
                <w:b w:val="0"/>
                <w:color w:val="2F3437"/>
                <w:sz w:val="18"/>
              </w:rPr>
              <w:t>1</w:t>
            </w:r>
          </w:p>
        </w:tc>
        <w:tc>
          <w:tcPr>
            <w:tcW w:type="dxa" w:w="1568"/>
            <w:vAlign w:val="center"/>
          </w:tcPr>
          <w:p>
            <w:pPr>
              <w:jc w:val="center"/>
            </w:pPr>
            <w:r>
              <w:rPr>
                <w:rFonts w:ascii="宋体" w:hAnsi="宋体" w:eastAsia="宋体"/>
                <w:sz w:val="19"/>
              </w:rPr>
            </w:r>
            <w:r>
              <w:rPr>
                <w:rFonts w:ascii="宋体" w:hAnsi="宋体" w:eastAsia="宋体"/>
                <w:b w:val="0"/>
                <w:color w:val="2F3437"/>
                <w:sz w:val="18"/>
              </w:rPr>
              <w:t>118.00</w:t>
            </w:r>
          </w:p>
        </w:tc>
        <w:tc>
          <w:tcPr>
            <w:tcW w:type="dxa" w:w="1568"/>
            <w:vAlign w:val="center"/>
          </w:tcPr>
          <w:p>
            <w:pPr>
              <w:jc w:val="center"/>
            </w:pPr>
            <w:r>
              <w:rPr>
                <w:rFonts w:ascii="宋体" w:hAnsi="宋体" w:eastAsia="宋体"/>
                <w:sz w:val="19"/>
              </w:rPr>
            </w:r>
            <w:r>
              <w:rPr>
                <w:rFonts w:ascii="宋体" w:hAnsi="宋体" w:eastAsia="宋体"/>
                <w:b w:val="0"/>
                <w:color w:val="2F3437"/>
                <w:sz w:val="18"/>
              </w:rPr>
              <w:t>—</w:t>
            </w:r>
          </w:p>
        </w:tc>
        <w:tc>
          <w:tcPr>
            <w:tcW w:type="dxa" w:w="1568"/>
            <w:vAlign w:val="center"/>
          </w:tcPr>
          <w:p>
            <w:pPr>
              <w:jc w:val="center"/>
            </w:pPr>
            <w:r>
              <w:rPr>
                <w:rFonts w:ascii="宋体" w:hAnsi="宋体" w:eastAsia="宋体"/>
                <w:sz w:val="19"/>
              </w:rPr>
            </w:r>
            <w:r>
              <w:rPr>
                <w:rFonts w:ascii="宋体" w:hAnsi="宋体" w:eastAsia="宋体"/>
                <w:b w:val="0"/>
                <w:color w:val="2F3437"/>
                <w:sz w:val="18"/>
              </w:rPr>
              <w:t>18,656.98</w:t>
            </w:r>
          </w:p>
        </w:tc>
      </w:tr>
      <w:tr>
        <w:tc>
          <w:tcPr>
            <w:tcW w:type="dxa" w:w="1568"/>
            <w:vAlign w:val="center"/>
          </w:tcPr>
          <w:p>
            <w:pPr>
              <w:jc w:val="center"/>
            </w:pPr>
            <w:r>
              <w:rPr>
                <w:rFonts w:ascii="宋体" w:hAnsi="宋体" w:eastAsia="宋体"/>
                <w:sz w:val="19"/>
              </w:rPr>
            </w:r>
            <w:r>
              <w:rPr>
                <w:rFonts w:ascii="宋体" w:hAnsi="宋体" w:eastAsia="宋体"/>
                <w:b w:val="0"/>
                <w:color w:val="2F3437"/>
                <w:sz w:val="18"/>
              </w:rPr>
              <w:t>区域二</w:t>
            </w:r>
          </w:p>
        </w:tc>
        <w:tc>
          <w:tcPr>
            <w:tcW w:type="dxa" w:w="1568"/>
            <w:vAlign w:val="center"/>
          </w:tcPr>
          <w:p>
            <w:pPr>
              <w:jc w:val="center"/>
            </w:pPr>
            <w:r>
              <w:rPr>
                <w:rFonts w:ascii="宋体" w:hAnsi="宋体" w:eastAsia="宋体"/>
                <w:sz w:val="19"/>
              </w:rPr>
            </w:r>
            <w:r>
              <w:rPr>
                <w:rFonts w:ascii="宋体" w:hAnsi="宋体" w:eastAsia="宋体"/>
                <w:b w:val="0"/>
                <w:color w:val="2F3437"/>
                <w:sz w:val="18"/>
              </w:rPr>
              <w:t>652.29</w:t>
            </w:r>
          </w:p>
        </w:tc>
        <w:tc>
          <w:tcPr>
            <w:tcW w:type="dxa" w:w="1568"/>
            <w:vAlign w:val="center"/>
          </w:tcPr>
          <w:p>
            <w:pPr>
              <w:jc w:val="center"/>
            </w:pPr>
            <w:r>
              <w:rPr>
                <w:rFonts w:ascii="宋体" w:hAnsi="宋体" w:eastAsia="宋体"/>
                <w:sz w:val="19"/>
              </w:rPr>
            </w:r>
            <w:r>
              <w:rPr>
                <w:rFonts w:ascii="宋体" w:hAnsi="宋体" w:eastAsia="宋体"/>
                <w:b w:val="0"/>
                <w:color w:val="2F3437"/>
                <w:sz w:val="18"/>
              </w:rPr>
              <w:t>3</w:t>
            </w:r>
          </w:p>
        </w:tc>
        <w:tc>
          <w:tcPr>
            <w:tcW w:type="dxa" w:w="1568"/>
            <w:vAlign w:val="center"/>
          </w:tcPr>
          <w:p>
            <w:pPr>
              <w:jc w:val="center"/>
            </w:pPr>
            <w:r>
              <w:rPr>
                <w:rFonts w:ascii="宋体" w:hAnsi="宋体" w:eastAsia="宋体"/>
                <w:sz w:val="19"/>
              </w:rPr>
            </w:r>
            <w:r>
              <w:rPr>
                <w:rFonts w:ascii="宋体" w:hAnsi="宋体" w:eastAsia="宋体"/>
                <w:b w:val="0"/>
                <w:color w:val="2F3437"/>
                <w:sz w:val="18"/>
              </w:rPr>
              <w:t>53.33</w:t>
            </w:r>
          </w:p>
        </w:tc>
        <w:tc>
          <w:tcPr>
            <w:tcW w:type="dxa" w:w="1568"/>
            <w:vAlign w:val="center"/>
          </w:tcPr>
          <w:p>
            <w:pPr>
              <w:jc w:val="center"/>
            </w:pPr>
            <w:r>
              <w:rPr>
                <w:rFonts w:ascii="宋体" w:hAnsi="宋体" w:eastAsia="宋体"/>
                <w:sz w:val="19"/>
              </w:rPr>
            </w:r>
            <w:r>
              <w:rPr>
                <w:rFonts w:ascii="宋体" w:hAnsi="宋体" w:eastAsia="宋体"/>
                <w:b w:val="0"/>
                <w:color w:val="2F3437"/>
                <w:sz w:val="18"/>
              </w:rPr>
              <w:t>961.33</w:t>
            </w:r>
          </w:p>
        </w:tc>
        <w:tc>
          <w:tcPr>
            <w:tcW w:type="dxa" w:w="1568"/>
            <w:vAlign w:val="center"/>
          </w:tcPr>
          <w:p>
            <w:pPr>
              <w:jc w:val="center"/>
            </w:pPr>
            <w:r>
              <w:rPr>
                <w:rFonts w:ascii="宋体" w:hAnsi="宋体" w:eastAsia="宋体"/>
                <w:sz w:val="19"/>
              </w:rPr>
            </w:r>
            <w:r>
              <w:rPr>
                <w:rFonts w:ascii="宋体" w:hAnsi="宋体" w:eastAsia="宋体"/>
                <w:b w:val="0"/>
                <w:color w:val="2F3437"/>
                <w:sz w:val="18"/>
              </w:rPr>
              <w:t>34,788.80</w:t>
            </w:r>
          </w:p>
        </w:tc>
      </w:tr>
      <w:tr>
        <w:tc>
          <w:tcPr>
            <w:tcW w:type="dxa" w:w="1568"/>
            <w:vAlign w:val="center"/>
          </w:tcPr>
          <w:p>
            <w:pPr>
              <w:jc w:val="center"/>
            </w:pPr>
            <w:r>
              <w:rPr>
                <w:rFonts w:ascii="宋体" w:hAnsi="宋体" w:eastAsia="宋体"/>
                <w:sz w:val="19"/>
              </w:rPr>
            </w:r>
            <w:r>
              <w:rPr>
                <w:rFonts w:ascii="宋体" w:hAnsi="宋体" w:eastAsia="宋体"/>
                <w:b w:val="0"/>
                <w:color w:val="2F3437"/>
                <w:sz w:val="18"/>
              </w:rPr>
              <w:t>区域三</w:t>
            </w:r>
          </w:p>
        </w:tc>
        <w:tc>
          <w:tcPr>
            <w:tcW w:type="dxa" w:w="1568"/>
            <w:vAlign w:val="center"/>
          </w:tcPr>
          <w:p>
            <w:pPr>
              <w:jc w:val="center"/>
            </w:pPr>
            <w:r>
              <w:rPr>
                <w:rFonts w:ascii="宋体" w:hAnsi="宋体" w:eastAsia="宋体"/>
                <w:sz w:val="19"/>
              </w:rPr>
            </w:r>
            <w:r>
              <w:rPr>
                <w:rFonts w:ascii="宋体" w:hAnsi="宋体" w:eastAsia="宋体"/>
                <w:b w:val="0"/>
                <w:color w:val="2F3437"/>
                <w:sz w:val="18"/>
              </w:rPr>
              <w:t>2705.89</w:t>
            </w:r>
          </w:p>
        </w:tc>
        <w:tc>
          <w:tcPr>
            <w:tcW w:type="dxa" w:w="1568"/>
            <w:vAlign w:val="center"/>
          </w:tcPr>
          <w:p>
            <w:pPr>
              <w:jc w:val="center"/>
            </w:pPr>
            <w:r>
              <w:rPr>
                <w:rFonts w:ascii="宋体" w:hAnsi="宋体" w:eastAsia="宋体"/>
                <w:sz w:val="19"/>
              </w:rPr>
            </w:r>
            <w:r>
              <w:rPr>
                <w:rFonts w:ascii="宋体" w:hAnsi="宋体" w:eastAsia="宋体"/>
                <w:b w:val="0"/>
                <w:color w:val="2F3437"/>
                <w:sz w:val="18"/>
              </w:rPr>
              <w:t>9</w:t>
            </w:r>
          </w:p>
        </w:tc>
        <w:tc>
          <w:tcPr>
            <w:tcW w:type="dxa" w:w="1568"/>
            <w:vAlign w:val="center"/>
          </w:tcPr>
          <w:p>
            <w:pPr>
              <w:jc w:val="center"/>
            </w:pPr>
            <w:r>
              <w:rPr>
                <w:rFonts w:ascii="宋体" w:hAnsi="宋体" w:eastAsia="宋体"/>
                <w:sz w:val="19"/>
              </w:rPr>
            </w:r>
            <w:r>
              <w:rPr>
                <w:rFonts w:ascii="宋体" w:hAnsi="宋体" w:eastAsia="宋体"/>
                <w:b w:val="0"/>
                <w:color w:val="2F3437"/>
                <w:sz w:val="18"/>
              </w:rPr>
              <w:t>90.11</w:t>
            </w:r>
          </w:p>
        </w:tc>
        <w:tc>
          <w:tcPr>
            <w:tcW w:type="dxa" w:w="1568"/>
            <w:vAlign w:val="center"/>
          </w:tcPr>
          <w:p>
            <w:pPr>
              <w:jc w:val="center"/>
            </w:pPr>
            <w:r>
              <w:rPr>
                <w:rFonts w:ascii="宋体" w:hAnsi="宋体" w:eastAsia="宋体"/>
                <w:sz w:val="19"/>
              </w:rPr>
            </w:r>
            <w:r>
              <w:rPr>
                <w:rFonts w:ascii="宋体" w:hAnsi="宋体" w:eastAsia="宋体"/>
                <w:b w:val="0"/>
                <w:color w:val="2F3437"/>
                <w:sz w:val="18"/>
              </w:rPr>
              <w:t>2683.36</w:t>
            </w:r>
          </w:p>
        </w:tc>
        <w:tc>
          <w:tcPr>
            <w:tcW w:type="dxa" w:w="1568"/>
            <w:vAlign w:val="center"/>
          </w:tcPr>
          <w:p>
            <w:pPr>
              <w:jc w:val="center"/>
            </w:pPr>
            <w:r>
              <w:rPr>
                <w:rFonts w:ascii="宋体" w:hAnsi="宋体" w:eastAsia="宋体"/>
                <w:sz w:val="19"/>
              </w:rPr>
            </w:r>
            <w:r>
              <w:rPr>
                <w:rFonts w:ascii="宋体" w:hAnsi="宋体" w:eastAsia="宋体"/>
                <w:b w:val="0"/>
                <w:color w:val="2F3437"/>
                <w:sz w:val="18"/>
              </w:rPr>
              <w:t>243,830.75</w:t>
            </w:r>
          </w:p>
        </w:tc>
      </w:tr>
      <w:tr>
        <w:tc>
          <w:tcPr>
            <w:tcW w:type="dxa" w:w="1568"/>
            <w:vAlign w:val="center"/>
          </w:tcPr>
          <w:p>
            <w:pPr>
              <w:jc w:val="center"/>
            </w:pPr>
            <w:r>
              <w:rPr>
                <w:rFonts w:ascii="宋体" w:hAnsi="宋体" w:eastAsia="宋体"/>
                <w:sz w:val="19"/>
              </w:rPr>
            </w:r>
            <w:r>
              <w:rPr>
                <w:rFonts w:ascii="宋体" w:hAnsi="宋体" w:eastAsia="宋体"/>
                <w:b w:val="0"/>
                <w:color w:val="2F3437"/>
                <w:sz w:val="18"/>
              </w:rPr>
              <w:t>区域四</w:t>
            </w:r>
          </w:p>
        </w:tc>
        <w:tc>
          <w:tcPr>
            <w:tcW w:type="dxa" w:w="1568"/>
            <w:vAlign w:val="center"/>
          </w:tcPr>
          <w:p>
            <w:pPr>
              <w:jc w:val="center"/>
            </w:pPr>
            <w:r>
              <w:rPr>
                <w:rFonts w:ascii="宋体" w:hAnsi="宋体" w:eastAsia="宋体"/>
                <w:sz w:val="19"/>
              </w:rPr>
            </w:r>
            <w:r>
              <w:rPr>
                <w:rFonts w:ascii="宋体" w:hAnsi="宋体" w:eastAsia="宋体"/>
                <w:b w:val="0"/>
                <w:color w:val="2F3437"/>
                <w:sz w:val="18"/>
              </w:rPr>
              <w:t>538.34</w:t>
            </w:r>
          </w:p>
        </w:tc>
        <w:tc>
          <w:tcPr>
            <w:tcW w:type="dxa" w:w="1568"/>
            <w:vAlign w:val="center"/>
          </w:tcPr>
          <w:p>
            <w:pPr>
              <w:jc w:val="center"/>
            </w:pPr>
            <w:r>
              <w:rPr>
                <w:rFonts w:ascii="宋体" w:hAnsi="宋体" w:eastAsia="宋体"/>
                <w:sz w:val="19"/>
              </w:rPr>
            </w:r>
            <w:r>
              <w:rPr>
                <w:rFonts w:ascii="宋体" w:hAnsi="宋体" w:eastAsia="宋体"/>
                <w:b w:val="0"/>
                <w:color w:val="2F3437"/>
                <w:sz w:val="18"/>
              </w:rPr>
              <w:t>3</w:t>
            </w:r>
          </w:p>
        </w:tc>
        <w:tc>
          <w:tcPr>
            <w:tcW w:type="dxa" w:w="1568"/>
            <w:vAlign w:val="center"/>
          </w:tcPr>
          <w:p>
            <w:pPr>
              <w:jc w:val="center"/>
            </w:pPr>
            <w:r>
              <w:rPr>
                <w:rFonts w:ascii="宋体" w:hAnsi="宋体" w:eastAsia="宋体"/>
                <w:sz w:val="19"/>
              </w:rPr>
            </w:r>
            <w:r>
              <w:rPr>
                <w:rFonts w:ascii="宋体" w:hAnsi="宋体" w:eastAsia="宋体"/>
                <w:b w:val="0"/>
                <w:color w:val="2F3437"/>
                <w:sz w:val="18"/>
              </w:rPr>
              <w:t>82.67</w:t>
            </w:r>
          </w:p>
        </w:tc>
        <w:tc>
          <w:tcPr>
            <w:tcW w:type="dxa" w:w="1568"/>
            <w:vAlign w:val="center"/>
          </w:tcPr>
          <w:p>
            <w:pPr>
              <w:jc w:val="center"/>
            </w:pPr>
            <w:r>
              <w:rPr>
                <w:rFonts w:ascii="宋体" w:hAnsi="宋体" w:eastAsia="宋体"/>
                <w:sz w:val="19"/>
              </w:rPr>
            </w:r>
            <w:r>
              <w:rPr>
                <w:rFonts w:ascii="宋体" w:hAnsi="宋体" w:eastAsia="宋体"/>
                <w:b w:val="0"/>
                <w:color w:val="2F3437"/>
                <w:sz w:val="18"/>
              </w:rPr>
              <w:t>2972.33</w:t>
            </w:r>
          </w:p>
        </w:tc>
        <w:tc>
          <w:tcPr>
            <w:tcW w:type="dxa" w:w="1568"/>
            <w:vAlign w:val="center"/>
          </w:tcPr>
          <w:p>
            <w:pPr>
              <w:jc w:val="center"/>
            </w:pPr>
            <w:r>
              <w:rPr>
                <w:rFonts w:ascii="宋体" w:hAnsi="宋体" w:eastAsia="宋体"/>
                <w:sz w:val="19"/>
              </w:rPr>
            </w:r>
            <w:r>
              <w:rPr>
                <w:rFonts w:ascii="宋体" w:hAnsi="宋体" w:eastAsia="宋体"/>
                <w:b w:val="0"/>
                <w:color w:val="2F3437"/>
                <w:sz w:val="18"/>
              </w:rPr>
              <w:t>44,502.77</w:t>
            </w:r>
          </w:p>
        </w:tc>
      </w:tr>
      <w:tr>
        <w:tc>
          <w:tcPr>
            <w:tcW w:type="dxa" w:w="1568"/>
            <w:vAlign w:val="center"/>
          </w:tcPr>
          <w:p>
            <w:pPr>
              <w:jc w:val="center"/>
            </w:pPr>
            <w:r>
              <w:rPr>
                <w:rFonts w:ascii="宋体" w:hAnsi="宋体" w:eastAsia="宋体"/>
                <w:sz w:val="19"/>
              </w:rPr>
            </w:r>
            <w:r>
              <w:rPr>
                <w:rFonts w:ascii="宋体" w:hAnsi="宋体" w:eastAsia="宋体"/>
                <w:b w:val="0"/>
                <w:color w:val="2F3437"/>
                <w:sz w:val="18"/>
              </w:rPr>
              <w:t>区域五</w:t>
            </w:r>
          </w:p>
        </w:tc>
        <w:tc>
          <w:tcPr>
            <w:tcW w:type="dxa" w:w="1568"/>
            <w:vAlign w:val="center"/>
          </w:tcPr>
          <w:p>
            <w:pPr>
              <w:jc w:val="center"/>
            </w:pPr>
            <w:r>
              <w:rPr>
                <w:rFonts w:ascii="宋体" w:hAnsi="宋体" w:eastAsia="宋体"/>
                <w:sz w:val="19"/>
              </w:rPr>
            </w:r>
            <w:r>
              <w:rPr>
                <w:rFonts w:ascii="宋体" w:hAnsi="宋体" w:eastAsia="宋体"/>
                <w:b w:val="0"/>
                <w:color w:val="2F3437"/>
                <w:sz w:val="18"/>
              </w:rPr>
              <w:t>246.02</w:t>
            </w:r>
          </w:p>
        </w:tc>
        <w:tc>
          <w:tcPr>
            <w:tcW w:type="dxa" w:w="1568"/>
            <w:vAlign w:val="center"/>
          </w:tcPr>
          <w:p>
            <w:pPr>
              <w:jc w:val="center"/>
            </w:pPr>
            <w:r>
              <w:rPr>
                <w:rFonts w:ascii="宋体" w:hAnsi="宋体" w:eastAsia="宋体"/>
                <w:sz w:val="19"/>
              </w:rPr>
            </w:r>
            <w:r>
              <w:rPr>
                <w:rFonts w:ascii="宋体" w:hAnsi="宋体" w:eastAsia="宋体"/>
                <w:b w:val="0"/>
                <w:color w:val="2F3437"/>
                <w:sz w:val="18"/>
              </w:rPr>
              <w:t>2</w:t>
            </w:r>
          </w:p>
        </w:tc>
        <w:tc>
          <w:tcPr>
            <w:tcW w:type="dxa" w:w="1568"/>
            <w:vAlign w:val="center"/>
          </w:tcPr>
          <w:p>
            <w:pPr>
              <w:jc w:val="center"/>
            </w:pPr>
            <w:r>
              <w:rPr>
                <w:rFonts w:ascii="宋体" w:hAnsi="宋体" w:eastAsia="宋体"/>
                <w:sz w:val="19"/>
              </w:rPr>
            </w:r>
            <w:r>
              <w:rPr>
                <w:rFonts w:ascii="宋体" w:hAnsi="宋体" w:eastAsia="宋体"/>
                <w:b w:val="0"/>
                <w:color w:val="2F3437"/>
                <w:sz w:val="18"/>
              </w:rPr>
              <w:t>55.50</w:t>
            </w:r>
          </w:p>
        </w:tc>
        <w:tc>
          <w:tcPr>
            <w:tcW w:type="dxa" w:w="1568"/>
            <w:vAlign w:val="center"/>
          </w:tcPr>
          <w:p>
            <w:pPr>
              <w:jc w:val="center"/>
            </w:pPr>
            <w:r>
              <w:rPr>
                <w:rFonts w:ascii="宋体" w:hAnsi="宋体" w:eastAsia="宋体"/>
                <w:sz w:val="19"/>
              </w:rPr>
            </w:r>
            <w:r>
              <w:rPr>
                <w:rFonts w:ascii="宋体" w:hAnsi="宋体" w:eastAsia="宋体"/>
                <w:b w:val="0"/>
                <w:color w:val="2F3437"/>
                <w:sz w:val="18"/>
              </w:rPr>
              <w:t>2380.50</w:t>
            </w:r>
          </w:p>
        </w:tc>
        <w:tc>
          <w:tcPr>
            <w:tcW w:type="dxa" w:w="1568"/>
            <w:vAlign w:val="center"/>
          </w:tcPr>
          <w:p>
            <w:pPr>
              <w:jc w:val="center"/>
            </w:pPr>
            <w:r>
              <w:rPr>
                <w:rFonts w:ascii="宋体" w:hAnsi="宋体" w:eastAsia="宋体"/>
                <w:sz w:val="19"/>
              </w:rPr>
            </w:r>
            <w:r>
              <w:rPr>
                <w:rFonts w:ascii="宋体" w:hAnsi="宋体" w:eastAsia="宋体"/>
                <w:b w:val="0"/>
                <w:color w:val="2F3437"/>
                <w:sz w:val="18"/>
              </w:rPr>
              <w:t>13,654.11</w:t>
            </w:r>
          </w:p>
        </w:tc>
      </w:tr>
      <w:tr>
        <w:tc>
          <w:tcPr>
            <w:tcW w:type="dxa" w:w="1568"/>
            <w:vAlign w:val="center"/>
          </w:tcPr>
          <w:p>
            <w:pPr>
              <w:jc w:val="center"/>
            </w:pPr>
            <w:r>
              <w:rPr>
                <w:rFonts w:ascii="宋体" w:hAnsi="宋体" w:eastAsia="宋体"/>
                <w:sz w:val="19"/>
              </w:rPr>
            </w:r>
            <w:r>
              <w:rPr>
                <w:rFonts w:ascii="宋体" w:hAnsi="宋体" w:eastAsia="宋体"/>
                <w:b w:val="0"/>
                <w:color w:val="2F3437"/>
                <w:sz w:val="18"/>
              </w:rPr>
              <w:t>区域六</w:t>
            </w:r>
          </w:p>
        </w:tc>
        <w:tc>
          <w:tcPr>
            <w:tcW w:type="dxa" w:w="1568"/>
            <w:vAlign w:val="center"/>
          </w:tcPr>
          <w:p>
            <w:pPr>
              <w:jc w:val="center"/>
            </w:pPr>
            <w:r>
              <w:rPr>
                <w:rFonts w:ascii="宋体" w:hAnsi="宋体" w:eastAsia="宋体"/>
                <w:sz w:val="19"/>
              </w:rPr>
            </w:r>
            <w:r>
              <w:rPr>
                <w:rFonts w:ascii="宋体" w:hAnsi="宋体" w:eastAsia="宋体"/>
                <w:b w:val="0"/>
                <w:color w:val="2F3437"/>
                <w:sz w:val="18"/>
              </w:rPr>
              <w:t>2000.03</w:t>
            </w:r>
          </w:p>
        </w:tc>
        <w:tc>
          <w:tcPr>
            <w:tcW w:type="dxa" w:w="1568"/>
            <w:vAlign w:val="center"/>
          </w:tcPr>
          <w:p>
            <w:pPr>
              <w:jc w:val="center"/>
            </w:pPr>
            <w:r>
              <w:rPr>
                <w:rFonts w:ascii="宋体" w:hAnsi="宋体" w:eastAsia="宋体"/>
                <w:sz w:val="19"/>
              </w:rPr>
            </w:r>
            <w:r>
              <w:rPr>
                <w:rFonts w:ascii="宋体" w:hAnsi="宋体" w:eastAsia="宋体"/>
                <w:b w:val="0"/>
                <w:color w:val="2F3437"/>
                <w:sz w:val="18"/>
              </w:rPr>
              <w:t>7</w:t>
            </w:r>
          </w:p>
        </w:tc>
        <w:tc>
          <w:tcPr>
            <w:tcW w:type="dxa" w:w="1568"/>
            <w:vAlign w:val="center"/>
          </w:tcPr>
          <w:p>
            <w:pPr>
              <w:jc w:val="center"/>
            </w:pPr>
            <w:r>
              <w:rPr>
                <w:rFonts w:ascii="宋体" w:hAnsi="宋体" w:eastAsia="宋体"/>
                <w:sz w:val="19"/>
              </w:rPr>
            </w:r>
            <w:r>
              <w:rPr>
                <w:rFonts w:ascii="宋体" w:hAnsi="宋体" w:eastAsia="宋体"/>
                <w:b w:val="0"/>
                <w:color w:val="2F3437"/>
                <w:sz w:val="18"/>
              </w:rPr>
              <w:t>95.14</w:t>
            </w:r>
          </w:p>
        </w:tc>
        <w:tc>
          <w:tcPr>
            <w:tcW w:type="dxa" w:w="1568"/>
            <w:vAlign w:val="center"/>
          </w:tcPr>
          <w:p>
            <w:pPr>
              <w:jc w:val="center"/>
            </w:pPr>
            <w:r>
              <w:rPr>
                <w:rFonts w:ascii="宋体" w:hAnsi="宋体" w:eastAsia="宋体"/>
                <w:sz w:val="19"/>
              </w:rPr>
            </w:r>
            <w:r>
              <w:rPr>
                <w:rFonts w:ascii="宋体" w:hAnsi="宋体" w:eastAsia="宋体"/>
                <w:b w:val="0"/>
                <w:color w:val="2F3437"/>
                <w:sz w:val="18"/>
              </w:rPr>
              <w:t>1115.81</w:t>
            </w:r>
          </w:p>
        </w:tc>
        <w:tc>
          <w:tcPr>
            <w:tcW w:type="dxa" w:w="1568"/>
            <w:vAlign w:val="center"/>
          </w:tcPr>
          <w:p>
            <w:pPr>
              <w:jc w:val="center"/>
            </w:pPr>
            <w:r>
              <w:rPr>
                <w:rFonts w:ascii="宋体" w:hAnsi="宋体" w:eastAsia="宋体"/>
                <w:sz w:val="19"/>
              </w:rPr>
            </w:r>
            <w:r>
              <w:rPr>
                <w:rFonts w:ascii="宋体" w:hAnsi="宋体" w:eastAsia="宋体"/>
                <w:b w:val="0"/>
                <w:color w:val="2F3437"/>
                <w:sz w:val="18"/>
              </w:rPr>
              <w:t>190,288.57</w:t>
            </w:r>
          </w:p>
        </w:tc>
      </w:tr>
      <w:tr>
        <w:tc>
          <w:tcPr>
            <w:tcW w:type="dxa" w:w="1568"/>
            <w:vAlign w:val="center"/>
          </w:tcPr>
          <w:p>
            <w:pPr>
              <w:jc w:val="center"/>
            </w:pPr>
            <w:r>
              <w:rPr>
                <w:rFonts w:ascii="宋体" w:hAnsi="宋体" w:eastAsia="宋体"/>
                <w:sz w:val="19"/>
              </w:rPr>
            </w:r>
            <w:r>
              <w:rPr>
                <w:rFonts w:ascii="宋体" w:hAnsi="宋体" w:eastAsia="宋体"/>
                <w:b w:val="0"/>
                <w:color w:val="2F3437"/>
                <w:sz w:val="18"/>
              </w:rPr>
              <w:t>合计/加权</w:t>
            </w:r>
          </w:p>
        </w:tc>
        <w:tc>
          <w:tcPr>
            <w:tcW w:type="dxa" w:w="1568"/>
            <w:vAlign w:val="center"/>
          </w:tcPr>
          <w:p>
            <w:pPr>
              <w:jc w:val="center"/>
            </w:pPr>
            <w:r>
              <w:rPr>
                <w:rFonts w:ascii="宋体" w:hAnsi="宋体" w:eastAsia="宋体"/>
                <w:sz w:val="19"/>
              </w:rPr>
            </w:r>
            <w:r>
              <w:rPr>
                <w:rFonts w:ascii="宋体" w:hAnsi="宋体" w:eastAsia="宋体"/>
                <w:b w:val="0"/>
                <w:color w:val="2F3437"/>
                <w:sz w:val="18"/>
              </w:rPr>
              <w:t>6300.68</w:t>
            </w:r>
          </w:p>
        </w:tc>
        <w:tc>
          <w:tcPr>
            <w:tcW w:type="dxa" w:w="1568"/>
            <w:vAlign w:val="center"/>
          </w:tcPr>
          <w:p>
            <w:pPr>
              <w:jc w:val="center"/>
            </w:pPr>
            <w:r>
              <w:rPr>
                <w:rFonts w:ascii="宋体" w:hAnsi="宋体" w:eastAsia="宋体"/>
                <w:sz w:val="19"/>
              </w:rPr>
            </w:r>
            <w:r>
              <w:rPr>
                <w:rFonts w:ascii="宋体" w:hAnsi="宋体" w:eastAsia="宋体"/>
                <w:b w:val="0"/>
                <w:color w:val="2F3437"/>
                <w:sz w:val="18"/>
              </w:rPr>
              <w:t>25</w:t>
            </w:r>
          </w:p>
        </w:tc>
        <w:tc>
          <w:tcPr>
            <w:tcW w:type="dxa" w:w="1568"/>
            <w:vAlign w:val="center"/>
          </w:tcPr>
          <w:p>
            <w:pPr>
              <w:jc w:val="center"/>
            </w:pPr>
            <w:r>
              <w:rPr>
                <w:rFonts w:ascii="宋体" w:hAnsi="宋体" w:eastAsia="宋体"/>
                <w:sz w:val="19"/>
              </w:rPr>
            </w:r>
            <w:r>
              <w:rPr>
                <w:rFonts w:ascii="宋体" w:hAnsi="宋体" w:eastAsia="宋体"/>
                <w:b w:val="0"/>
                <w:color w:val="2F3437"/>
                <w:sz w:val="18"/>
              </w:rPr>
              <w:t>86.61</w:t>
            </w:r>
          </w:p>
        </w:tc>
        <w:tc>
          <w:tcPr>
            <w:tcW w:type="dxa" w:w="1568"/>
            <w:vAlign w:val="center"/>
          </w:tcPr>
          <w:p>
            <w:pPr>
              <w:jc w:val="center"/>
            </w:pPr>
            <w:r>
              <w:rPr>
                <w:rFonts w:ascii="宋体" w:hAnsi="宋体" w:eastAsia="宋体"/>
                <w:sz w:val="19"/>
              </w:rPr>
            </w:r>
            <w:r>
              <w:rPr>
                <w:rFonts w:ascii="宋体" w:hAnsi="宋体" w:eastAsia="宋体"/>
                <w:b w:val="0"/>
                <w:color w:val="2F3437"/>
                <w:sz w:val="18"/>
              </w:rPr>
              <w:t>—</w:t>
            </w:r>
          </w:p>
        </w:tc>
        <w:tc>
          <w:tcPr>
            <w:tcW w:type="dxa" w:w="1568"/>
            <w:vAlign w:val="center"/>
          </w:tcPr>
          <w:p>
            <w:pPr>
              <w:jc w:val="center"/>
            </w:pPr>
            <w:r>
              <w:rPr>
                <w:rFonts w:ascii="宋体" w:hAnsi="宋体" w:eastAsia="宋体"/>
                <w:sz w:val="19"/>
              </w:rPr>
            </w:r>
            <w:r>
              <w:rPr>
                <w:rFonts w:ascii="宋体" w:hAnsi="宋体" w:eastAsia="宋体"/>
                <w:b w:val="0"/>
                <w:color w:val="2F3437"/>
                <w:sz w:val="18"/>
              </w:rPr>
              <w:t>545,721.99</w:t>
            </w:r>
          </w:p>
        </w:tc>
      </w:tr>
    </w:tbl>
    <w:p>
      <w:pPr>
        <w:spacing w:line="300" w:lineRule="auto"/>
        <w:ind/>
        <w:jc w:val="center"/>
      </w:pPr>
      <w:r>
        <w:rPr>
          <w:rFonts w:ascii="宋体" w:hAnsi="宋体" w:eastAsia="宋体"/>
          <w:b w:val="0"/>
          <w:color w:val="5F6970"/>
          <w:sz w:val="20"/>
        </w:rPr>
        <w:t>表3 分区域样本统计量与总量估计</w:t>
      </w:r>
    </w:p>
    <w:p>
      <w:pPr>
        <w:spacing w:line="300" w:lineRule="auto"/>
        <w:ind/>
        <w:jc w:val="center"/>
      </w:pPr>
      <w:r>
        <w:rPr>
          <w:rFonts w:ascii="宋体" w:hAnsi="宋体" w:eastAsia="宋体"/>
        </w:rPr>
        <w:drawing>
          <wp:inline xmlns:a="http://schemas.openxmlformats.org/drawingml/2006/main" xmlns:pic="http://schemas.openxmlformats.org/drawingml/2006/picture">
            <wp:extent cx="5394960" cy="2850804"/>
            <wp:docPr id="6" name="Picture 6"/>
            <wp:cNvGraphicFramePr>
              <a:graphicFrameLocks noChangeAspect="1"/>
            </wp:cNvGraphicFramePr>
            <a:graphic>
              <a:graphicData uri="http://schemas.openxmlformats.org/drawingml/2006/picture">
                <pic:pic>
                  <pic:nvPicPr>
                    <pic:cNvPr id="0" name="strata_stats_chart.png"/>
                    <pic:cNvPicPr/>
                  </pic:nvPicPr>
                  <pic:blipFill>
                    <a:blip r:embed="rId14"/>
                    <a:stretch>
                      <a:fillRect/>
                    </a:stretch>
                  </pic:blipFill>
                  <pic:spPr>
                    <a:xfrm>
                      <a:off x="0" y="0"/>
                      <a:ext cx="5394960" cy="2850804"/>
                    </a:xfrm>
                    <a:prstGeom prst="rect"/>
                  </pic:spPr>
                </pic:pic>
              </a:graphicData>
            </a:graphic>
          </wp:inline>
        </w:drawing>
      </w:r>
    </w:p>
    <w:p>
      <w:pPr>
        <w:spacing w:line="300" w:lineRule="auto"/>
        <w:ind/>
        <w:jc w:val="center"/>
      </w:pPr>
      <w:r>
        <w:rPr>
          <w:rFonts w:ascii="宋体" w:hAnsi="宋体" w:eastAsia="宋体"/>
          <w:b w:val="0"/>
          <w:color w:val="5F6970"/>
          <w:sz w:val="20"/>
        </w:rPr>
        <w:t>图7 分区域平均密度与估计总数</w:t>
      </w:r>
    </w:p>
    <w:p>
      <w:pPr>
        <w:jc w:val="center"/>
      </w:pPr>
      <w:r>
        <w:drawing>
          <wp:inline xmlns:a="http://schemas.openxmlformats.org/drawingml/2006/main" xmlns:pic="http://schemas.openxmlformats.org/drawingml/2006/picture">
            <wp:extent cx="5394960" cy="2729215"/>
            <wp:docPr id="9" name="Picture 9"/>
            <wp:cNvGraphicFramePr>
              <a:graphicFrameLocks noChangeAspect="1"/>
            </wp:cNvGraphicFramePr>
            <a:graphic>
              <a:graphicData uri="http://schemas.openxmlformats.org/drawingml/2006/picture">
                <pic:pic>
                  <pic:nvPicPr>
                    <pic:cNvPr id="0" name="allocation_vs_area_macaron.png"/>
                    <pic:cNvPicPr/>
                  </pic:nvPicPr>
                  <pic:blipFill>
                    <a:blip r:embed="rId15"/>
                    <a:stretch>
                      <a:fillRect/>
                    </a:stretch>
                  </pic:blipFill>
                  <pic:spPr>
                    <a:xfrm>
                      <a:off x="0" y="0"/>
                      <a:ext cx="5394960" cy="2729215"/>
                    </a:xfrm>
                    <a:prstGeom prst="rect"/>
                  </pic:spPr>
                </pic:pic>
              </a:graphicData>
            </a:graphic>
          </wp:inline>
        </w:drawing>
      </w:r>
    </w:p>
    <w:p>
      <w:pPr>
        <w:jc w:val="center"/>
      </w:pPr>
      <w:r>
        <w:rPr>
          <w:rFonts w:ascii="宋体" w:hAnsi="宋体" w:eastAsia="宋体"/>
          <w:b w:val="0"/>
          <w:color w:val="5F6970"/>
          <w:sz w:val="20"/>
        </w:rPr>
        <w:t>图8 六块草坪面积占比与样方分配占比对比</w:t>
      </w:r>
    </w:p>
    <w:p>
      <w:pPr>
        <w:jc w:val="center"/>
      </w:pPr>
      <w:r>
        <w:drawing>
          <wp:inline xmlns:a="http://schemas.openxmlformats.org/drawingml/2006/main" xmlns:pic="http://schemas.openxmlformats.org/drawingml/2006/picture">
            <wp:extent cx="5394960" cy="2950314"/>
            <wp:docPr id="10" name="Picture 10"/>
            <wp:cNvGraphicFramePr>
              <a:graphicFrameLocks noChangeAspect="1"/>
            </wp:cNvGraphicFramePr>
            <a:graphic>
              <a:graphicData uri="http://schemas.openxmlformats.org/drawingml/2006/picture">
                <pic:pic>
                  <pic:nvPicPr>
                    <pic:cNvPr id="0" name="sample_distribution_macaron.png"/>
                    <pic:cNvPicPr/>
                  </pic:nvPicPr>
                  <pic:blipFill>
                    <a:blip r:embed="rId16"/>
                    <a:stretch>
                      <a:fillRect/>
                    </a:stretch>
                  </pic:blipFill>
                  <pic:spPr>
                    <a:xfrm>
                      <a:off x="0" y="0"/>
                      <a:ext cx="5394960" cy="2950314"/>
                    </a:xfrm>
                    <a:prstGeom prst="rect"/>
                  </pic:spPr>
                </pic:pic>
              </a:graphicData>
            </a:graphic>
          </wp:inline>
        </w:drawing>
      </w:r>
    </w:p>
    <w:p>
      <w:pPr>
        <w:jc w:val="center"/>
      </w:pPr>
      <w:r>
        <w:rPr>
          <w:rFonts w:ascii="宋体" w:hAnsi="宋体" w:eastAsia="宋体"/>
          <w:b w:val="0"/>
          <w:color w:val="5F6970"/>
          <w:sz w:val="20"/>
        </w:rPr>
        <w:t>图9 各区域样方草数量分布图</w:t>
      </w:r>
    </w:p>
    <w:p>
      <w:pPr>
        <w:spacing w:line="300" w:lineRule="auto"/>
        <w:ind w:firstLine="420"/>
        <w:jc w:val="center"/>
      </w:pPr>
      <w:r>
        <w:rPr>
          <w:rFonts w:ascii="宋体" w:hAnsi="宋体" w:eastAsia="宋体"/>
          <w:b w:val="0"/>
          <w:color w:val="5F6970"/>
          <w:sz w:val="20"/>
        </w:rPr>
        <w:t>图8显示，样方分配总体上与面积占比方向一致，但小面积区域的样方占比略高于面积占比，这是为了保证每个区域至少有观测值，避免小区域被完全忽略。图9显示，区域三和区域六样本均值较高，是总体估计的主要贡献区域；区域四样本波动较大，说明局部草密度差异明显，也是估计误差的重要来源。</w:t>
      </w:r>
    </w:p>
    <w:p>
      <w:pPr>
        <w:pStyle w:val="Heading2"/>
      </w:pPr>
      <w:r>
        <w:rPr>
          <w:rFonts w:ascii="黑体" w:hAnsi="黑体" w:eastAsia="黑体"/>
          <w:b/>
          <w:color w:val="568072"/>
          <w:sz w:val="25"/>
        </w:rPr>
        <w:t>5.2 分层估计公式</w:t>
      </w:r>
    </w:p>
    <w:p>
      <w:pPr>
        <w:spacing w:line="300" w:lineRule="auto"/>
        <w:ind w:firstLine="420"/>
      </w:pPr>
      <w:r>
        <w:rPr>
          <w:rFonts w:ascii="宋体" w:hAnsi="宋体" w:eastAsia="宋体"/>
          <w:b w:val="0"/>
          <w:color w:val="2F3437"/>
          <w:sz w:val="22"/>
        </w:rPr>
        <w:t>设第 h 个区域面积为 A_h，样方数为 n_h，第 h 层第 i 个样方草数量为 y_hi，第 h 层样方均值为 ȳ_h，层权重为 W_h=A_h/A。因为每个样方面积为1 m²，样方均值可以直接解释为该区域每平方米草本植物平均数量。分层估计先在各区域内部求均值，再用面积权重汇总，层均值和分层总量估计量如下：</w:t>
      </w:r>
    </w:p>
    <w:p>
      <w:pPr>
        <w:jc w:val="center"/>
      </w:pPr>
      <m:oMathPara>
        <m:oMathParaPr>
          <m:jc m:val="center"/>
        </m:oMathParaPr>
        <m:oMath>
          <m:sSub>
            <m:e>
              <m:acc>
                <m:accPr>
                  <m:chr m:val="¯"/>
                </m:accPr>
                <m:e>
                  <m:r>
                    <m:t xml:space="preserve">y</m:t>
                  </m:r>
                </m:e>
              </m:acc>
            </m:e>
            <m:sub>
              <m:r>
                <m:t xml:space="preserve">h</m:t>
              </m:r>
            </m:sub>
          </m:sSub>
          <m:r>
            <m:t xml:space="preserve"> = </m:t>
          </m:r>
          <m:f>
            <m:fPr>
              <m:type m:val="bar"/>
            </m:fPr>
            <m:num>
              <m:r>
                <m:t xml:space="preserve">1</m:t>
              </m:r>
            </m:num>
            <m:den>
              <m:sSub>
                <m:e>
                  <m:r>
                    <m:t xml:space="preserve">n</m:t>
                  </m:r>
                </m:e>
                <m:sub>
                  <m:r>
                    <m:t xml:space="preserve">h</m:t>
                  </m:r>
                </m:sub>
              </m:sSub>
            </m:den>
          </m:f>
          <m:nary>
            <m:naryPr>
              <m:chr m:val="∑"/>
              <m:limLoc m:val="undOvr"/>
            </m:naryPr>
            <m:sub>
              <m:r>
                <m:t xml:space="preserve">i=1</m:t>
              </m:r>
            </m:sub>
            <m:sup>
              <m:sSub>
                <m:e>
                  <m:r>
                    <m:t xml:space="preserve">n</m:t>
                  </m:r>
                </m:e>
                <m:sub>
                  <m:r>
                    <m:t xml:space="preserve">h</m:t>
                  </m:r>
                </m:sub>
              </m:sSub>
            </m:sup>
            <m:e>
              <m:sSub>
                <m:e>
                  <m:r>
                    <m:t xml:space="preserve">y</m:t>
                  </m:r>
                </m:e>
                <m:sub>
                  <m:r>
                    <m:t xml:space="preserve">hi</m:t>
                  </m:r>
                </m:sub>
              </m:sSub>
            </m:e>
          </m:nary>
        </m:oMath>
      </m:oMathPara>
    </w:p>
    <w:p>
      <w:pPr>
        <w:jc w:val="center"/>
      </w:pPr>
      <m:oMathPara>
        <m:oMathParaPr>
          <m:jc m:val="center"/>
        </m:oMathParaPr>
        <m:oMath>
          <m:sSub>
            <m:e>
              <m:acc>
                <m:accPr>
                  <m:chr m:val="̂"/>
                </m:accPr>
                <m:e>
                  <m:r>
                    <m:t xml:space="preserve">Y</m:t>
                  </m:r>
                </m:e>
              </m:acc>
            </m:e>
            <m:sub>
              <m:r>
                <m:t xml:space="preserve">st</m:t>
              </m:r>
            </m:sub>
          </m:sSub>
          <m:r>
            <m:t xml:space="preserve"> = </m:t>
          </m:r>
          <m:nary>
            <m:naryPr>
              <m:chr m:val="∑"/>
              <m:limLoc m:val="undOvr"/>
            </m:naryPr>
            <m:sub>
              <m:r>
                <m:t xml:space="preserve">h=1</m:t>
              </m:r>
            </m:sub>
            <m:sup>
              <m:r>
                <m:t xml:space="preserve">6</m:t>
              </m:r>
            </m:sup>
            <m:e>
              <m:sSub>
                <m:e>
                  <m:r>
                    <m:t xml:space="preserve">A</m:t>
                  </m:r>
                </m:e>
                <m:sub>
                  <m:r>
                    <m:t xml:space="preserve">h</m:t>
                  </m:r>
                </m:sub>
              </m:sSub>
              <m:sSub>
                <m:e>
                  <m:acc>
                    <m:accPr>
                      <m:chr m:val="¯"/>
                    </m:accPr>
                    <m:e>
                      <m:r>
                        <m:t xml:space="preserve">y</m:t>
                      </m:r>
                    </m:e>
                  </m:acc>
                </m:e>
                <m:sub>
                  <m:r>
                    <m:t xml:space="preserve">h</m:t>
                  </m:r>
                </m:sub>
              </m:sSub>
            </m:e>
          </m:nary>
        </m:oMath>
      </m:oMathPara>
    </w:p>
    <w:p>
      <w:pPr>
        <w:spacing w:line="300" w:lineRule="auto"/>
        <w:ind w:firstLine="420"/>
      </w:pPr>
      <w:r>
        <w:rPr>
          <w:rFonts w:ascii="宋体" w:hAnsi="宋体" w:eastAsia="宋体"/>
          <w:b w:val="0"/>
          <w:color w:val="2F3437"/>
          <w:sz w:val="22"/>
        </w:rPr>
        <w:t>代入六块草坪面积和各层样本均值，总量估计计算为：</w:t>
      </w:r>
    </w:p>
    <w:p>
      <w:pPr>
        <w:jc w:val="center"/>
      </w:pPr>
      <m:oMathPara>
        <m:oMathParaPr>
          <m:jc m:val="center"/>
        </m:oMathParaPr>
        <m:oMath>
          <m:sSub>
            <m:e>
              <m:acc>
                <m:accPr>
                  <m:chr m:val="̂"/>
                </m:accPr>
                <m:e>
                  <m:r>
                    <m:t xml:space="preserve">Y</m:t>
                  </m:r>
                </m:e>
              </m:acc>
            </m:e>
            <m:sub>
              <m:r>
                <m:t xml:space="preserve">st</m:t>
              </m:r>
            </m:sub>
          </m:sSub>
          <m:r>
            <m:t xml:space="preserve"> = 158.11×118.00 + 652.29×53.33 + 2705.89×90.11 + 538.34×82.67 + 246.02×55.50 + 2000.03×95.14 = 545721.99 ≈ 545722</m:t>
          </m:r>
        </m:oMath>
      </m:oMathPara>
    </w:p>
    <w:p>
      <w:pPr>
        <w:spacing w:line="300" w:lineRule="auto"/>
        <w:ind w:firstLine="420"/>
      </w:pPr>
      <w:r>
        <w:rPr>
          <w:rFonts w:ascii="宋体" w:hAnsi="宋体" w:eastAsia="宋体"/>
          <w:b w:val="0"/>
          <w:color w:val="2F3437"/>
          <w:sz w:val="22"/>
        </w:rPr>
        <w:t>因此，C5门前草坪草本植物总数估计为约545,722株。对应面积加权平均密度为：</w:t>
      </w:r>
    </w:p>
    <w:p>
      <w:pPr>
        <w:jc w:val="center"/>
      </w:pPr>
      <m:oMathPara>
        <m:oMathParaPr>
          <m:jc m:val="center"/>
        </m:oMathParaPr>
        <m:oMath>
          <m:sSub>
            <m:e>
              <m:acc>
                <m:accPr>
                  <m:chr m:val="¯"/>
                </m:accPr>
                <m:e>
                  <m:r>
                    <m:t xml:space="preserve">y</m:t>
                  </m:r>
                </m:e>
              </m:acc>
            </m:e>
            <m:sub>
              <m:r>
                <m:t xml:space="preserve">st</m:t>
              </m:r>
            </m:sub>
          </m:sSub>
          <m:r>
            <m:t xml:space="preserve"> = </m:t>
          </m:r>
          <m:f>
            <m:fPr>
              <m:type m:val="bar"/>
            </m:fPr>
            <m:num>
              <m:sSub>
                <m:e>
                  <m:acc>
                    <m:accPr>
                      <m:chr m:val="̂"/>
                    </m:accPr>
                    <m:e>
                      <m:r>
                        <m:t xml:space="preserve">Y</m:t>
                      </m:r>
                    </m:e>
                  </m:acc>
                </m:e>
                <m:sub>
                  <m:r>
                    <m:t xml:space="preserve">st</m:t>
                  </m:r>
                </m:sub>
              </m:sSub>
            </m:num>
            <m:den>
              <m:r>
                <m:t xml:space="preserve">A</m:t>
              </m:r>
            </m:den>
          </m:f>
          <m:r>
            <m:t xml:space="preserve"> = </m:t>
          </m:r>
          <m:nary>
            <m:naryPr>
              <m:chr m:val="∑"/>
              <m:limLoc m:val="undOvr"/>
            </m:naryPr>
            <m:sub>
              <m:r>
                <m:t xml:space="preserve">h=1</m:t>
              </m:r>
            </m:sub>
            <m:sup>
              <m:r>
                <m:t xml:space="preserve">6</m:t>
              </m:r>
            </m:sup>
            <m:e>
              <m:sSub>
                <m:e>
                  <m:r>
                    <m:t xml:space="preserve">W</m:t>
                  </m:r>
                </m:e>
                <m:sub>
                  <m:r>
                    <m:t xml:space="preserve">h</m:t>
                  </m:r>
                </m:sub>
              </m:sSub>
              <m:sSub>
                <m:e>
                  <m:acc>
                    <m:accPr>
                      <m:chr m:val="¯"/>
                    </m:accPr>
                    <m:e>
                      <m:r>
                        <m:t xml:space="preserve">y</m:t>
                      </m:r>
                    </m:e>
                  </m:acc>
                </m:e>
                <m:sub>
                  <m:r>
                    <m:t xml:space="preserve">h</m:t>
                  </m:r>
                </m:sub>
              </m:sSub>
            </m:e>
          </m:nary>
          <m:r>
            <m:t xml:space="preserve"> = </m:t>
          </m:r>
          <m:f>
            <m:fPr>
              <m:type m:val="bar"/>
            </m:fPr>
            <m:num>
              <m:r>
                <m:t xml:space="preserve">545721.99</m:t>
              </m:r>
            </m:num>
            <m:den>
              <m:r>
                <m:t xml:space="preserve">6300.68</m:t>
              </m:r>
            </m:den>
          </m:f>
          <m:r>
            <m:t xml:space="preserve"> = 86.61</m:t>
          </m:r>
        </m:oMath>
      </m:oMathPara>
    </w:p>
    <w:p>
      <w:pPr>
        <w:pStyle w:val="Heading2"/>
      </w:pPr>
      <w:r>
        <w:rPr>
          <w:rFonts w:ascii="黑体" w:hAnsi="黑体" w:eastAsia="黑体"/>
          <w:b/>
          <w:color w:val="568072"/>
          <w:sz w:val="25"/>
        </w:rPr>
        <w:t>5.3 估计误差与置信区间</w:t>
      </w:r>
    </w:p>
    <w:p>
      <w:pPr>
        <w:spacing w:line="300" w:lineRule="auto"/>
        <w:ind w:firstLine="420"/>
      </w:pPr>
      <w:r>
        <w:rPr>
          <w:rFonts w:ascii="宋体" w:hAnsi="宋体" w:eastAsia="宋体"/>
          <w:b w:val="0"/>
          <w:color w:val="2F3437"/>
          <w:sz w:val="22"/>
        </w:rPr>
        <w:t>分层估计量的方差估计如下。由于各层抽样比均不足1%，有限总体修正项影响很小，本文采用右侧近似式计算标准误：</w:t>
      </w:r>
    </w:p>
    <w:p>
      <w:pPr>
        <w:jc w:val="center"/>
      </w:pPr>
      <m:oMathPara>
        <m:oMathParaPr>
          <m:jc m:val="center"/>
        </m:oMathParaPr>
        <m:oMath>
          <m:acc>
            <m:accPr>
              <m:chr m:val="̂"/>
            </m:accPr>
            <m:e>
              <m:r>
                <m:t xml:space="preserve">V</m:t>
              </m:r>
            </m:e>
          </m:acc>
          <m:r>
            <m:t xml:space="preserve">(</m:t>
          </m:r>
          <m:sSub>
            <m:e>
              <m:acc>
                <m:accPr>
                  <m:chr m:val="̂"/>
                </m:accPr>
                <m:e>
                  <m:r>
                    <m:t xml:space="preserve">Y</m:t>
                  </m:r>
                </m:e>
              </m:acc>
            </m:e>
            <m:sub>
              <m:r>
                <m:t xml:space="preserve">st</m:t>
              </m:r>
            </m:sub>
          </m:sSub>
          <m:r>
            <m:t xml:space="preserve">) = </m:t>
          </m:r>
          <m:nary>
            <m:naryPr>
              <m:chr m:val="∑"/>
              <m:limLoc m:val="undOvr"/>
            </m:naryPr>
            <m:sub>
              <m:r>
                <m:t xml:space="preserve">h=1</m:t>
              </m:r>
            </m:sub>
            <m:sup>
              <m:r>
                <m:t xml:space="preserve">6</m:t>
              </m:r>
            </m:sup>
            <m:e>
              <m:sSup>
                <m:e>
                  <m:sSub>
                    <m:e>
                      <m:r>
                        <m:t xml:space="preserve">A</m:t>
                      </m:r>
                    </m:e>
                    <m:sub>
                      <m:r>
                        <m:t xml:space="preserve">h</m:t>
                      </m:r>
                    </m:sub>
                  </m:sSub>
                </m:e>
                <m:sup>
                  <m:r>
                    <m:t xml:space="preserve">2</m:t>
                  </m:r>
                </m:sup>
              </m:sSup>
              <m:r>
                <m:t xml:space="preserve">(1−</m:t>
              </m:r>
              <m:sSub>
                <m:e>
                  <m:r>
                    <m:t xml:space="preserve">f</m:t>
                  </m:r>
                </m:e>
                <m:sub>
                  <m:r>
                    <m:t xml:space="preserve">h</m:t>
                  </m:r>
                </m:sub>
              </m:sSub>
              <m:r>
                <m:t xml:space="preserve">)</m:t>
              </m:r>
              <m:f>
                <m:fPr>
                  <m:type m:val="bar"/>
                </m:fPr>
                <m:num>
                  <m:sSubSup>
                    <m:e>
                      <m:r>
                        <m:t xml:space="preserve">s</m:t>
                      </m:r>
                    </m:e>
                    <m:sub>
                      <m:r>
                        <m:t xml:space="preserve">h</m:t>
                      </m:r>
                    </m:sub>
                    <m:sup>
                      <m:r>
                        <m:t xml:space="preserve">2</m:t>
                      </m:r>
                    </m:sup>
                  </m:sSubSup>
                </m:num>
                <m:den>
                  <m:sSub>
                    <m:e>
                      <m:r>
                        <m:t xml:space="preserve">n</m:t>
                      </m:r>
                    </m:e>
                    <m:sub>
                      <m:r>
                        <m:t xml:space="preserve">h</m:t>
                      </m:r>
                    </m:sub>
                  </m:sSub>
                </m:den>
              </m:f>
            </m:e>
          </m:nary>
          <m:r>
            <m:t xml:space="preserve"> ≈ </m:t>
          </m:r>
          <m:nary>
            <m:naryPr>
              <m:chr m:val="∑"/>
              <m:limLoc m:val="undOvr"/>
            </m:naryPr>
            <m:sub>
              <m:r>
                <m:t xml:space="preserve">h=1</m:t>
              </m:r>
            </m:sub>
            <m:sup>
              <m:r>
                <m:t xml:space="preserve">6</m:t>
              </m:r>
            </m:sup>
            <m:e>
              <m:sSup>
                <m:e>
                  <m:sSub>
                    <m:e>
                      <m:r>
                        <m:t xml:space="preserve">A</m:t>
                      </m:r>
                    </m:e>
                    <m:sub>
                      <m:r>
                        <m:t xml:space="preserve">h</m:t>
                      </m:r>
                    </m:sub>
                  </m:sSub>
                </m:e>
                <m:sup>
                  <m:r>
                    <m:t xml:space="preserve">2</m:t>
                  </m:r>
                </m:sup>
              </m:sSup>
              <m:f>
                <m:fPr>
                  <m:type m:val="bar"/>
                </m:fPr>
                <m:num>
                  <m:sSubSup>
                    <m:e>
                      <m:r>
                        <m:t xml:space="preserve">s</m:t>
                      </m:r>
                    </m:e>
                    <m:sub>
                      <m:r>
                        <m:t xml:space="preserve">h</m:t>
                      </m:r>
                    </m:sub>
                    <m:sup>
                      <m:r>
                        <m:t xml:space="preserve">2</m:t>
                      </m:r>
                    </m:sup>
                  </m:sSubSup>
                </m:num>
                <m:den>
                  <m:sSub>
                    <m:e>
                      <m:r>
                        <m:t xml:space="preserve">n</m:t>
                      </m:r>
                    </m:e>
                    <m:sub>
                      <m:r>
                        <m:t xml:space="preserve">h</m:t>
                      </m:r>
                    </m:sub>
                  </m:sSub>
                </m:den>
              </m:f>
            </m:e>
          </m:nary>
        </m:oMath>
      </m:oMathPara>
    </w:p>
    <w:p>
      <w:pPr>
        <w:spacing w:line="300" w:lineRule="auto"/>
        <w:ind w:firstLine="420"/>
      </w:pPr>
      <w:r>
        <w:rPr>
          <w:rFonts w:ascii="宋体" w:hAnsi="宋体" w:eastAsia="宋体"/>
          <w:b w:val="0"/>
          <w:color w:val="2F3437"/>
          <w:sz w:val="22"/>
        </w:rPr>
        <w:t>其中区域一只有1个样方，无法单独计算层内样本方差。为保持误差估计完整，本报告用其他五个区域的合并方差作为区域一方差的近似值。具体计算为：</w:t>
      </w:r>
    </w:p>
    <w:p>
      <w:pPr>
        <w:jc w:val="center"/>
      </w:pPr>
      <m:oMathPara>
        <m:oMathParaPr>
          <m:jc m:val="center"/>
        </m:oMathParaPr>
        <m:oMath>
          <m:sSubSup>
            <m:e>
              <m:r>
                <m:t xml:space="preserve">S</m:t>
              </m:r>
            </m:e>
            <m:sub>
              <m:r>
                <m:t xml:space="preserve">p</m:t>
              </m:r>
            </m:sub>
            <m:sup>
              <m:r>
                <m:t xml:space="preserve">2</m:t>
              </m:r>
            </m:sup>
          </m:sSubSup>
          <m:r>
            <m:t xml:space="preserve"> = </m:t>
          </m:r>
          <m:f>
            <m:fPr>
              <m:type m:val="bar"/>
            </m:fPr>
            <m:num>
              <m:nary>
                <m:naryPr>
                  <m:chr m:val="∑"/>
                  <m:limLoc m:val="undOvr"/>
                </m:naryPr>
                <m:sub>
                  <m:r>
                    <m:t xml:space="preserve">h:n_h&gt;1</m:t>
                  </m:r>
                </m:sub>
                <m:sup>
                  <m:r>
                    <m:t xml:space="preserve">6</m:t>
                  </m:r>
                </m:sup>
                <m:e>
                  <m:r>
                    <m:t xml:space="preserve">(</m:t>
                  </m:r>
                  <m:sSub>
                    <m:e>
                      <m:r>
                        <m:t xml:space="preserve">n</m:t>
                      </m:r>
                    </m:e>
                    <m:sub>
                      <m:r>
                        <m:t xml:space="preserve">h</m:t>
                      </m:r>
                    </m:sub>
                  </m:sSub>
                  <m:r>
                    <m:t xml:space="preserve">−1)</m:t>
                  </m:r>
                  <m:sSubSup>
                    <m:e>
                      <m:r>
                        <m:t xml:space="preserve">s</m:t>
                      </m:r>
                    </m:e>
                    <m:sub>
                      <m:r>
                        <m:t xml:space="preserve">h</m:t>
                      </m:r>
                    </m:sub>
                    <m:sup>
                      <m:r>
                        <m:t xml:space="preserve">2</m:t>
                      </m:r>
                    </m:sup>
                  </m:sSubSup>
                </m:e>
              </m:nary>
            </m:num>
            <m:den>
              <m:nary>
                <m:naryPr>
                  <m:chr m:val="∑"/>
                  <m:limLoc m:val="undOvr"/>
                </m:naryPr>
                <m:sub>
                  <m:r>
                    <m:t xml:space="preserve">h:n_h&gt;1</m:t>
                  </m:r>
                </m:sub>
                <m:sup>
                  <m:r>
                    <m:t xml:space="preserve">6</m:t>
                  </m:r>
                </m:sup>
                <m:e>
                  <m:r>
                    <m:t xml:space="preserve">(</m:t>
                  </m:r>
                  <m:sSub>
                    <m:e>
                      <m:r>
                        <m:t xml:space="preserve">n</m:t>
                      </m:r>
                    </m:e>
                    <m:sub>
                      <m:r>
                        <m:t xml:space="preserve">h</m:t>
                      </m:r>
                    </m:sub>
                  </m:sSub>
                  <m:r>
                    <m:t xml:space="preserve">−1)</m:t>
                  </m:r>
                </m:e>
              </m:nary>
            </m:den>
          </m:f>
          <m:r>
            <m:t xml:space="preserve"> = 2021.56</m:t>
          </m:r>
        </m:oMath>
      </m:oMathPara>
    </w:p>
    <w:p>
      <w:pPr>
        <w:jc w:val="center"/>
      </w:pPr>
      <m:oMathPara>
        <m:oMathParaPr>
          <m:jc m:val="center"/>
        </m:oMathParaPr>
        <m:oMath>
          <m:acc>
            <m:accPr>
              <m:chr m:val="̂"/>
            </m:accPr>
            <m:e>
              <m:r>
                <m:t xml:space="preserve">V</m:t>
              </m:r>
            </m:e>
          </m:acc>
          <m:r>
            <m:t xml:space="preserve">(</m:t>
          </m:r>
          <m:sSub>
            <m:e>
              <m:acc>
                <m:accPr>
                  <m:chr m:val="̂"/>
                </m:accPr>
                <m:e>
                  <m:r>
                    <m:t xml:space="preserve">Y</m:t>
                  </m:r>
                </m:e>
              </m:acc>
            </m:e>
            <m:sub>
              <m:r>
                <m:t xml:space="preserve">st</m:t>
              </m:r>
            </m:sub>
          </m:sSub>
          <m:r>
            <m:t xml:space="preserve">) = 3366698416.75，  SE(</m:t>
          </m:r>
          <m:sSub>
            <m:e>
              <m:acc>
                <m:accPr>
                  <m:chr m:val="̂"/>
                </m:accPr>
                <m:e>
                  <m:r>
                    <m:t xml:space="preserve">Y</m:t>
                  </m:r>
                </m:e>
              </m:acc>
            </m:e>
            <m:sub>
              <m:r>
                <m:t xml:space="preserve">st</m:t>
              </m:r>
            </m:sub>
          </m:sSub>
          <m:r>
            <m:t xml:space="preserve">) = </m:t>
          </m:r>
          <m:rad>
            <m:radPr>
              <m:degHide m:val="1"/>
            </m:radPr>
            <m:e>
              <m:acc>
                <m:accPr>
                  <m:chr m:val="̂"/>
                </m:accPr>
                <m:e>
                  <m:r>
                    <m:t xml:space="preserve">V</m:t>
                  </m:r>
                </m:e>
              </m:acc>
              <m:r>
                <m:t xml:space="preserve">(</m:t>
              </m:r>
              <m:sSub>
                <m:e>
                  <m:acc>
                    <m:accPr>
                      <m:chr m:val="̂"/>
                    </m:accPr>
                    <m:e>
                      <m:r>
                        <m:t xml:space="preserve">Y</m:t>
                      </m:r>
                    </m:e>
                  </m:acc>
                </m:e>
                <m:sub>
                  <m:r>
                    <m:t xml:space="preserve">st</m:t>
                  </m:r>
                </m:sub>
              </m:sSub>
              <m:r>
                <m:t xml:space="preserve">)</m:t>
              </m:r>
            </m:e>
          </m:rad>
          <m:r>
            <m:t xml:space="preserve"> = 58023.26</m:t>
          </m:r>
        </m:oMath>
      </m:oMathPara>
    </w:p>
    <w:p>
      <w:pPr>
        <w:spacing w:line="300" w:lineRule="auto"/>
        <w:ind w:firstLine="420"/>
      </w:pPr>
      <w:r>
        <w:rPr>
          <w:rFonts w:ascii="宋体" w:hAnsi="宋体" w:eastAsia="宋体"/>
          <w:b w:val="0"/>
          <w:color w:val="2F3437"/>
          <w:sz w:val="22"/>
        </w:rPr>
        <w:t>在95%置信水平下，取正态近似系数1.96，总量估计的置信区间为：</w:t>
      </w:r>
    </w:p>
    <w:p>
      <w:pPr>
        <w:jc w:val="center"/>
      </w:pPr>
      <m:oMathPara>
        <m:oMathParaPr>
          <m:jc m:val="center"/>
        </m:oMathParaPr>
        <m:oMath>
          <m:sSub>
            <m:e>
              <m:r>
                <m:t xml:space="preserve">CI</m:t>
              </m:r>
            </m:e>
            <m:sub>
              <m:r>
                <m:t xml:space="preserve">95%</m:t>
              </m:r>
            </m:sub>
          </m:sSub>
          <m:r>
            <m:t xml:space="preserve"> = </m:t>
          </m:r>
          <m:sSub>
            <m:e>
              <m:acc>
                <m:accPr>
                  <m:chr m:val="̂"/>
                </m:accPr>
                <m:e>
                  <m:r>
                    <m:t xml:space="preserve">Y</m:t>
                  </m:r>
                </m:e>
              </m:acc>
            </m:e>
            <m:sub>
              <m:r>
                <m:t xml:space="preserve">st</m:t>
              </m:r>
            </m:sub>
          </m:sSub>
          <m:r>
            <m:t xml:space="preserve"> ± 1.96×SE(</m:t>
          </m:r>
          <m:sSub>
            <m:e>
              <m:acc>
                <m:accPr>
                  <m:chr m:val="̂"/>
                </m:accPr>
                <m:e>
                  <m:r>
                    <m:t xml:space="preserve">Y</m:t>
                  </m:r>
                </m:e>
              </m:acc>
            </m:e>
            <m:sub>
              <m:r>
                <m:t xml:space="preserve">st</m:t>
              </m:r>
            </m:sub>
          </m:sSub>
          <m:r>
            <m:t xml:space="preserve">) = 545721.99 ± 1.96×58023.26 = [431996.40, 659447.57]</m:t>
          </m:r>
        </m:oMath>
      </m:oMathPara>
    </w:p>
    <w:p>
      <w:pPr>
        <w:ind w:firstLine="420"/>
        <w:spacing w:line="300" w:lineRule="auto"/>
      </w:pPr>
      <w:r>
        <w:rPr>
          <w:rFonts w:ascii="宋体" w:hAnsi="宋体" w:eastAsia="宋体"/>
          <w:b w:val="0"/>
          <w:color w:val="2F3437"/>
          <w:sz w:val="22"/>
        </w:rPr>
        <w:t>四舍五入后，95%近似置信区间为[431,996, 659,448]株。相对标准误约为10.63%，说明估计值具有一定波动性，但在课程实地作业条件下精度可以接受。需要注意的是，该区间主要反映抽样误差，尚未完全包含谷歌地图面积测量误差、人工计数误差和边界判定误差，因此解释结果时应将其视为“近似统计区间”。</w:t>
      </w:r>
    </w:p>
    <w:p>
      <w:pPr>
        <w:pStyle w:val="Heading1"/>
      </w:pPr>
      <w:r>
        <w:rPr>
          <w:rFonts w:ascii="黑体" w:hAnsi="黑体" w:eastAsia="黑体"/>
          <w:b/>
          <w:color w:val="2F5D50"/>
          <w:sz w:val="30"/>
        </w:rPr>
        <w:t>六、结果与讨论</w:t>
      </w:r>
    </w:p>
    <w:p>
      <w:pPr>
        <w:pStyle w:val="Heading2"/>
      </w:pPr>
      <w:r>
        <w:rPr>
          <w:rFonts w:ascii="黑体" w:hAnsi="黑体" w:eastAsia="黑体"/>
          <w:b/>
          <w:color w:val="568072"/>
          <w:sz w:val="25"/>
        </w:rPr>
        <w:t>6.1 估计结果解释</w:t>
      </w:r>
    </w:p>
    <w:p>
      <w:pPr>
        <w:spacing w:line="300" w:lineRule="auto"/>
        <w:ind w:firstLine="420"/>
      </w:pPr>
      <w:r>
        <w:rPr>
          <w:rFonts w:ascii="宋体" w:hAnsi="宋体" w:eastAsia="宋体"/>
          <w:b w:val="0"/>
          <w:color w:val="2F3437"/>
          <w:sz w:val="22"/>
        </w:rPr>
        <w:t>根据25个1 m²样方和六块草坪谷歌地图测量面积，本次调查估计C5门前草坪草本植物计数单位总数约为545,722株/簇，95%近似置信区间为431,996至659,448株/簇。平均密度约为86.61株/m²。若只用25个样方的非加权均值84.56株/m²直接乘以总面积，会得到约532,786株，略低于分层估计结果。这说明面积较大的区域三和区域六密度偏高，对总量估计有较大影响，采用分层面积加权比简单平均更合理。</w:t>
      </w:r>
    </w:p>
    <w:p>
      <w:pPr>
        <w:pStyle w:val="Heading2"/>
      </w:pPr>
      <w:r>
        <w:rPr>
          <w:rFonts w:ascii="黑体" w:hAnsi="黑体" w:eastAsia="黑体"/>
          <w:b/>
          <w:color w:val="568072"/>
          <w:sz w:val="25"/>
        </w:rPr>
        <w:t>6.2 抽样方案合理性评价</w:t>
      </w:r>
    </w:p>
    <w:p>
      <w:pPr>
        <w:spacing w:line="300" w:lineRule="auto"/>
        <w:ind w:firstLine="420"/>
      </w:pPr>
      <w:r>
        <w:rPr>
          <w:rFonts w:ascii="宋体" w:hAnsi="宋体" w:eastAsia="宋体"/>
          <w:b w:val="0"/>
          <w:color w:val="2F3437"/>
          <w:sz w:val="22"/>
        </w:rPr>
        <w:t>本方案的优点在于：调查边界清晰，样方面积统一，现场操作可重复；六块草坪分别作为层处理，能够体现面积差异和空间异质性；面积数据、原始计数、样方照片和统计计算过程均有对应材料，便于复核。样本虽然只有25个，但覆盖了全部六块草坪，且大面积区域获得了更多样方，因此估计结果具有一定代表性。</w:t>
      </w:r>
    </w:p>
    <w:p>
      <w:pPr>
        <w:spacing w:line="300" w:lineRule="auto"/>
        <w:ind w:firstLine="420"/>
      </w:pPr>
      <w:r>
        <w:rPr>
          <w:rFonts w:ascii="宋体" w:hAnsi="宋体" w:eastAsia="宋体"/>
          <w:b w:val="0"/>
          <w:color w:val="2F3437"/>
          <w:sz w:val="22"/>
        </w:rPr>
        <w:t>不足之处主要有：区域一仅有1个样方，无法直接估计该区域内部变异；区域五只有2个样方，方差估计不稳定；系统布点如果与喷头、踩踏路线或草坪修剪痕迹存在周期性重合，可能导致偏差；此外，人工按株/簇计数在密集区域不可避免存在主观判断。</w:t>
      </w:r>
    </w:p>
    <w:p>
      <w:pPr>
        <w:pStyle w:val="Heading2"/>
      </w:pPr>
      <w:r>
        <w:rPr>
          <w:rFonts w:ascii="黑体" w:hAnsi="黑体" w:eastAsia="黑体"/>
          <w:b/>
          <w:color w:val="568072"/>
          <w:sz w:val="25"/>
        </w:rPr>
        <w:t>6.3 误差来源分析</w:t>
      </w:r>
    </w:p>
    <w:p>
      <w:pPr>
        <w:spacing w:line="300" w:lineRule="auto"/>
        <w:ind w:firstLine="420"/>
      </w:pPr>
      <w:r>
        <w:rPr>
          <w:rFonts w:ascii="宋体" w:hAnsi="宋体" w:eastAsia="宋体"/>
          <w:b w:val="0"/>
          <w:color w:val="2F3437"/>
          <w:sz w:val="22"/>
        </w:rPr>
        <w:t>抽样误差方面，25个样方相对于6300.68 m²草坪面积仍然较少，样本点位置不同会造成估计波动。草坪内部存在明显空间差异，例如区域二和区域五平均密度较低，而区域三和区域六密度较高，若某一区域样方恰好落在稀疏或密集小斑块中，会影响区域均值。</w:t>
      </w:r>
    </w:p>
    <w:p>
      <w:pPr>
        <w:spacing w:line="300" w:lineRule="auto"/>
        <w:ind w:firstLine="420"/>
      </w:pPr>
      <w:r>
        <w:rPr>
          <w:rFonts w:ascii="宋体" w:hAnsi="宋体" w:eastAsia="宋体"/>
          <w:b w:val="0"/>
          <w:color w:val="2F3437"/>
          <w:sz w:val="22"/>
        </w:rPr>
        <w:t>非抽样误差方面，首先是边界判定误差，特别是道路边缘和铺砖缝隙处的草是否计入，可能存在少量主观差异。其次是计数误差，丛生、匍匐或被枯草遮挡的植物可能被少计或多计。再次是面积测量误差，本报告所用草坪面积来自谷歌地图软件测量，卫星影像分辨率、边界圈定操作和影像更新时点都可能使面积与现场真实面积略有差异。最后是现场环境影响，局部踩踏、裸地、石块、浇灌不均或修剪时间都会影响观测到的草本植物数量；样方框由线绳固定，若边长或角度略有偏差，也会带来极小的样方面积误差。</w:t>
      </w:r>
    </w:p>
    <w:p>
      <w:pPr>
        <w:pStyle w:val="Heading2"/>
      </w:pPr>
      <w:r>
        <w:rPr>
          <w:rFonts w:ascii="黑体" w:hAnsi="黑体" w:eastAsia="黑体"/>
          <w:b/>
          <w:color w:val="568072"/>
          <w:sz w:val="25"/>
        </w:rPr>
        <w:t>6.4 改进建议</w:t>
      </w:r>
    </w:p>
    <w:p>
      <w:pPr>
        <w:spacing w:line="300" w:lineRule="auto"/>
        <w:ind w:firstLine="420"/>
      </w:pPr>
      <w:r>
        <w:rPr>
          <w:rFonts w:ascii="宋体" w:hAnsi="宋体" w:eastAsia="宋体"/>
          <w:b w:val="0"/>
          <w:color w:val="2F3437"/>
          <w:sz w:val="22"/>
        </w:rPr>
        <w:t>若后续重新调查，可将样本量增加到40至50个，并按照各区域面积进行更接近比例分配，尤其增加区域一、区域五等小样本区域的样方数；在样方内部使用10 cm × 10 cm网格辅助计数，以减少密集区域的判断误差；记录每个样方的GPS点位或相对坐标，便于复查；尽量选择草坪未刚修剪且光线稳定的时段调查。若条件允许，也可结合手机图像分割或分块拍照计数，提高高密度样方的准确性。</w:t>
      </w:r>
    </w:p>
    <w:p>
      <w:pPr>
        <w:pStyle w:val="Heading1"/>
      </w:pPr>
      <w:r>
        <w:rPr>
          <w:rFonts w:ascii="黑体" w:hAnsi="黑体" w:eastAsia="黑体"/>
          <w:b/>
          <w:color w:val="2F5D50"/>
          <w:sz w:val="30"/>
        </w:rPr>
        <w:t>七、结论</w:t>
      </w:r>
    </w:p>
    <w:p>
      <w:pPr>
        <w:spacing w:line="300" w:lineRule="auto"/>
        <w:ind w:firstLine="420"/>
      </w:pPr>
      <w:r>
        <w:rPr>
          <w:rFonts w:ascii="宋体" w:hAnsi="宋体" w:eastAsia="宋体"/>
          <w:b w:val="0"/>
          <w:color w:val="2F3437"/>
          <w:sz w:val="22"/>
        </w:rPr>
        <w:t>本次调查围绕C5门前草坪草本植物数量估计问题，采用1 m × 1 m样方进行实地抽样，并根据六块草坪谷歌地图测量面积进行分层面积加权估计。结果表明，草坪总面积为6300.68 m²，面积加权平均密度为86.61株/m²，草本植物总数估计为约545,722株/簇，95%近似置信区间为431,996至659,448株/簇。总体看，分层样方法能够较好适应草坪被道路分割、面积差异明显和密度不均的现场特点，估计逻辑清晰、数据可追溯。受样本量和人工计数限制，结果仍存在一定误差，但已能反映C5门前草坪草本植物数量的大致规模。</w:t>
      </w:r>
    </w:p>
    <w:p>
      <w:pPr>
        <w:pStyle w:val="Heading1"/>
      </w:pPr>
      <w:r>
        <w:rPr>
          <w:rFonts w:ascii="黑体" w:hAnsi="黑体" w:eastAsia="黑体"/>
          <w:b/>
          <w:color w:val="2F5D50"/>
          <w:sz w:val="30"/>
        </w:rPr>
        <w:t>八、附录</w:t>
      </w:r>
    </w:p>
    <w:p>
      <w:pPr>
        <w:pStyle w:val="Heading2"/>
      </w:pPr>
      <w:r>
        <w:rPr>
          <w:rFonts w:ascii="黑体" w:hAnsi="黑体" w:eastAsia="黑体"/>
          <w:b/>
          <w:color w:val="568072"/>
          <w:sz w:val="25"/>
        </w:rPr>
        <w:t>附录A 原始数据说明</w:t>
      </w:r>
    </w:p>
    <w:p>
      <w:pPr>
        <w:spacing w:line="300" w:lineRule="auto"/>
        <w:ind w:firstLine="420"/>
      </w:pPr>
      <w:r>
        <w:rPr>
          <w:rFonts w:ascii="宋体" w:hAnsi="宋体" w:eastAsia="宋体"/>
          <w:b w:val="0"/>
          <w:color w:val="2F3437"/>
          <w:sz w:val="22"/>
        </w:rPr>
        <w:t>完整电子原始数据见同文件夹中的“2024017349_李倩倩_原始数据.xlsx”。该文件记录了样方编号、所属区域和草数量三列信息，与本文表2一致。</w:t>
      </w:r>
    </w:p>
    <w:p>
      <w:pPr>
        <w:pStyle w:val="Heading2"/>
      </w:pPr>
      <w:r>
        <w:rPr>
          <w:rFonts w:ascii="黑体" w:hAnsi="黑体" w:eastAsia="黑体"/>
          <w:b/>
          <w:color w:val="568072"/>
          <w:sz w:val="25"/>
        </w:rPr>
        <w:t>附录B 现场照片说明</w:t>
      </w:r>
    </w:p>
    <w:p>
      <w:pPr>
        <w:spacing w:line="300" w:lineRule="auto"/>
        <w:ind w:firstLine="420"/>
      </w:pPr>
      <w:r>
        <w:rPr>
          <w:rFonts w:ascii="宋体" w:hAnsi="宋体" w:eastAsia="宋体"/>
          <w:b w:val="0"/>
          <w:color w:val="2F3437"/>
          <w:sz w:val="22"/>
        </w:rPr>
        <w:t>现场照片包括草坪区域划分图、草坪区域草图、采样工具图、三张区域俯拍图和25个样方照片。本文已将主要照片以图1至图9形式插入报告，完整照片文件保存在同文件夹内。</w:t>
      </w:r>
    </w:p>
    <w:p>
      <w:pPr>
        <w:pStyle w:val="Heading2"/>
      </w:pPr>
      <w:r>
        <w:rPr>
          <w:rFonts w:ascii="黑体" w:hAnsi="黑体" w:eastAsia="黑体"/>
          <w:b/>
          <w:color w:val="568072"/>
          <w:sz w:val="25"/>
        </w:rPr>
        <w:t>附录C 主要计算过程</w:t>
      </w:r>
    </w:p>
    <w:tbl>
      <w:tblPr>
        <w:tblStyle w:val="TableGrid"/>
        <w:tblW w:type="auto" w:w="0"/>
        <w:jc w:val="center"/>
        <w:tblLook w:firstColumn="1" w:firstRow="1" w:lastColumn="0" w:lastRow="0" w:noHBand="0" w:noVBand="1" w:val="04A0"/>
      </w:tblPr>
      <w:tblGrid>
        <w:gridCol w:w="4703"/>
        <w:gridCol w:w="4703"/>
      </w:tblGrid>
      <w:tr>
        <w:tc>
          <w:tcPr>
            <w:tcW w:type="dxa" w:w="4703"/>
            <w:vAlign w:val="center"/>
            <w:shd w:fill="EAF4EF"/>
          </w:tcPr>
          <w:p>
            <w:pPr>
              <w:jc w:val="center"/>
            </w:pPr>
            <w:r>
              <w:rPr>
                <w:rFonts w:ascii="宋体" w:hAnsi="宋体" w:eastAsia="宋体"/>
                <w:sz w:val="19"/>
              </w:rPr>
            </w:r>
            <w:r>
              <w:rPr>
                <w:rFonts w:ascii="宋体" w:hAnsi="宋体" w:eastAsia="宋体"/>
                <w:b w:val="0"/>
                <w:color w:val="2F3437"/>
                <w:sz w:val="18"/>
              </w:rPr>
              <w:t>指标</w:t>
            </w:r>
          </w:p>
        </w:tc>
        <w:tc>
          <w:tcPr>
            <w:tcW w:type="dxa" w:w="4703"/>
            <w:vAlign w:val="center"/>
            <w:shd w:fill="EAF4EF"/>
          </w:tcPr>
          <w:p>
            <w:pPr>
              <w:jc w:val="center"/>
            </w:pPr>
            <w:r>
              <w:rPr>
                <w:rFonts w:ascii="宋体" w:hAnsi="宋体" w:eastAsia="宋体"/>
                <w:sz w:val="19"/>
              </w:rPr>
            </w:r>
            <w:r>
              <w:rPr>
                <w:rFonts w:ascii="宋体" w:hAnsi="宋体" w:eastAsia="宋体"/>
                <w:b w:val="0"/>
                <w:color w:val="2F3437"/>
                <w:sz w:val="18"/>
              </w:rPr>
              <w:t>结果</w:t>
            </w:r>
          </w:p>
        </w:tc>
      </w:tr>
      <w:tr>
        <w:tc>
          <w:tcPr>
            <w:tcW w:type="dxa" w:w="4703"/>
            <w:vAlign w:val="center"/>
          </w:tcPr>
          <w:p>
            <w:pPr>
              <w:jc w:val="center"/>
            </w:pPr>
            <w:r>
              <w:rPr>
                <w:rFonts w:ascii="宋体" w:hAnsi="宋体" w:eastAsia="宋体"/>
                <w:sz w:val="19"/>
              </w:rPr>
            </w:r>
            <w:r>
              <w:rPr>
                <w:rFonts w:ascii="宋体" w:hAnsi="宋体" w:eastAsia="宋体"/>
                <w:b w:val="0"/>
                <w:color w:val="2F3437"/>
                <w:sz w:val="18"/>
              </w:rPr>
              <w:t>总面积A</w:t>
            </w:r>
          </w:p>
        </w:tc>
        <w:tc>
          <w:tcPr>
            <w:tcW w:type="dxa" w:w="4703"/>
            <w:vAlign w:val="center"/>
          </w:tcPr>
          <w:p>
            <w:pPr>
              <w:jc w:val="center"/>
            </w:pPr>
            <w:r>
              <w:rPr>
                <w:rFonts w:ascii="宋体" w:hAnsi="宋体" w:eastAsia="宋体"/>
                <w:sz w:val="19"/>
              </w:rPr>
            </w:r>
            <w:r>
              <w:rPr>
                <w:rFonts w:ascii="宋体" w:hAnsi="宋体" w:eastAsia="宋体"/>
                <w:b w:val="0"/>
                <w:color w:val="2F3437"/>
                <w:sz w:val="18"/>
              </w:rPr>
              <w:t>6300.68 m²</w:t>
            </w:r>
          </w:p>
        </w:tc>
      </w:tr>
      <w:tr>
        <w:tc>
          <w:tcPr>
            <w:tcW w:type="dxa" w:w="4703"/>
            <w:vAlign w:val="center"/>
          </w:tcPr>
          <w:p>
            <w:pPr>
              <w:jc w:val="center"/>
            </w:pPr>
            <w:r>
              <w:rPr>
                <w:rFonts w:ascii="宋体" w:hAnsi="宋体" w:eastAsia="宋体"/>
                <w:sz w:val="19"/>
              </w:rPr>
            </w:r>
            <w:r>
              <w:rPr>
                <w:rFonts w:ascii="宋体" w:hAnsi="宋体" w:eastAsia="宋体"/>
                <w:b w:val="0"/>
                <w:color w:val="2F3437"/>
                <w:sz w:val="18"/>
              </w:rPr>
              <w:t>非加权样本均值</w:t>
            </w:r>
          </w:p>
        </w:tc>
        <w:tc>
          <w:tcPr>
            <w:tcW w:type="dxa" w:w="4703"/>
            <w:vAlign w:val="center"/>
          </w:tcPr>
          <w:p>
            <w:pPr>
              <w:jc w:val="center"/>
            </w:pPr>
            <w:r>
              <w:rPr>
                <w:rFonts w:ascii="宋体" w:hAnsi="宋体" w:eastAsia="宋体"/>
                <w:sz w:val="19"/>
              </w:rPr>
            </w:r>
            <w:r>
              <w:rPr>
                <w:rFonts w:ascii="宋体" w:hAnsi="宋体" w:eastAsia="宋体"/>
                <w:b w:val="0"/>
                <w:color w:val="2F3437"/>
                <w:sz w:val="18"/>
              </w:rPr>
              <w:t>84.56株/m²</w:t>
            </w:r>
          </w:p>
        </w:tc>
      </w:tr>
      <w:tr>
        <w:tc>
          <w:tcPr>
            <w:tcW w:type="dxa" w:w="4703"/>
            <w:vAlign w:val="center"/>
          </w:tcPr>
          <w:p>
            <w:pPr>
              <w:jc w:val="center"/>
            </w:pPr>
            <w:r>
              <w:rPr>
                <w:rFonts w:ascii="宋体" w:hAnsi="宋体" w:eastAsia="宋体"/>
                <w:sz w:val="19"/>
              </w:rPr>
            </w:r>
            <w:r>
              <w:rPr>
                <w:rFonts w:ascii="宋体" w:hAnsi="宋体" w:eastAsia="宋体"/>
                <w:b w:val="0"/>
                <w:color w:val="2F3437"/>
                <w:sz w:val="18"/>
              </w:rPr>
              <w:t>非加权样本方差</w:t>
            </w:r>
          </w:p>
        </w:tc>
        <w:tc>
          <w:tcPr>
            <w:tcW w:type="dxa" w:w="4703"/>
            <w:vAlign w:val="center"/>
          </w:tcPr>
          <w:p>
            <w:pPr>
              <w:jc w:val="center"/>
            </w:pPr>
            <w:r>
              <w:rPr>
                <w:rFonts w:ascii="宋体" w:hAnsi="宋体" w:eastAsia="宋体"/>
                <w:sz w:val="19"/>
              </w:rPr>
            </w:r>
            <w:r>
              <w:rPr>
                <w:rFonts w:ascii="宋体" w:hAnsi="宋体" w:eastAsia="宋体"/>
                <w:b w:val="0"/>
                <w:color w:val="2F3437"/>
                <w:sz w:val="18"/>
              </w:rPr>
              <w:t>1883.92</w:t>
            </w:r>
          </w:p>
        </w:tc>
      </w:tr>
      <w:tr>
        <w:tc>
          <w:tcPr>
            <w:tcW w:type="dxa" w:w="4703"/>
            <w:vAlign w:val="center"/>
          </w:tcPr>
          <w:p>
            <w:pPr>
              <w:jc w:val="center"/>
            </w:pPr>
            <w:r>
              <w:rPr>
                <w:rFonts w:ascii="宋体" w:hAnsi="宋体" w:eastAsia="宋体"/>
                <w:sz w:val="19"/>
              </w:rPr>
            </w:r>
            <w:r>
              <w:rPr>
                <w:rFonts w:ascii="宋体" w:hAnsi="宋体" w:eastAsia="宋体"/>
                <w:b w:val="0"/>
                <w:color w:val="2F3437"/>
                <w:sz w:val="18"/>
              </w:rPr>
              <w:t>分层面积加权平均密度</w:t>
            </w:r>
          </w:p>
        </w:tc>
        <w:tc>
          <w:tcPr>
            <w:tcW w:type="dxa" w:w="4703"/>
            <w:vAlign w:val="center"/>
          </w:tcPr>
          <w:p>
            <w:pPr>
              <w:jc w:val="center"/>
            </w:pPr>
            <w:r>
              <w:rPr>
                <w:rFonts w:ascii="宋体" w:hAnsi="宋体" w:eastAsia="宋体"/>
                <w:sz w:val="19"/>
              </w:rPr>
            </w:r>
            <w:r>
              <w:rPr>
                <w:rFonts w:ascii="宋体" w:hAnsi="宋体" w:eastAsia="宋体"/>
                <w:b w:val="0"/>
                <w:color w:val="2F3437"/>
                <w:sz w:val="18"/>
              </w:rPr>
              <w:t>86.61株/m²</w:t>
            </w:r>
          </w:p>
        </w:tc>
      </w:tr>
      <w:tr>
        <w:tc>
          <w:tcPr>
            <w:tcW w:type="dxa" w:w="4703"/>
            <w:vAlign w:val="center"/>
          </w:tcPr>
          <w:p>
            <w:pPr>
              <w:jc w:val="center"/>
            </w:pPr>
            <w:r>
              <w:rPr>
                <w:rFonts w:ascii="宋体" w:hAnsi="宋体" w:eastAsia="宋体"/>
                <w:sz w:val="19"/>
              </w:rPr>
            </w:r>
            <w:r>
              <w:rPr>
                <w:rFonts w:ascii="宋体" w:hAnsi="宋体" w:eastAsia="宋体"/>
                <w:b w:val="0"/>
                <w:color w:val="2F3437"/>
                <w:sz w:val="18"/>
              </w:rPr>
              <w:t>总体总数估计Ŷ</w:t>
            </w:r>
          </w:p>
        </w:tc>
        <w:tc>
          <w:tcPr>
            <w:tcW w:type="dxa" w:w="4703"/>
            <w:vAlign w:val="center"/>
          </w:tcPr>
          <w:p>
            <w:pPr>
              <w:jc w:val="center"/>
            </w:pPr>
            <w:r>
              <w:rPr>
                <w:rFonts w:ascii="宋体" w:hAnsi="宋体" w:eastAsia="宋体"/>
                <w:sz w:val="19"/>
              </w:rPr>
            </w:r>
            <w:r>
              <w:rPr>
                <w:rFonts w:ascii="宋体" w:hAnsi="宋体" w:eastAsia="宋体"/>
                <w:b w:val="0"/>
                <w:color w:val="2F3437"/>
                <w:sz w:val="18"/>
              </w:rPr>
              <w:t>545,721.99株</w:t>
            </w:r>
          </w:p>
        </w:tc>
      </w:tr>
      <w:tr>
        <w:tc>
          <w:tcPr>
            <w:tcW w:type="dxa" w:w="4703"/>
            <w:vAlign w:val="center"/>
          </w:tcPr>
          <w:p>
            <w:pPr>
              <w:jc w:val="center"/>
            </w:pPr>
            <w:r>
              <w:rPr>
                <w:rFonts w:ascii="宋体" w:hAnsi="宋体" w:eastAsia="宋体"/>
                <w:sz w:val="19"/>
              </w:rPr>
            </w:r>
            <w:r>
              <w:rPr>
                <w:rFonts w:ascii="宋体" w:hAnsi="宋体" w:eastAsia="宋体"/>
                <w:b w:val="0"/>
                <w:color w:val="2F3437"/>
                <w:sz w:val="18"/>
              </w:rPr>
              <w:t>估计标准误SE(Ŷ)</w:t>
            </w:r>
          </w:p>
        </w:tc>
        <w:tc>
          <w:tcPr>
            <w:tcW w:type="dxa" w:w="4703"/>
            <w:vAlign w:val="center"/>
          </w:tcPr>
          <w:p>
            <w:pPr>
              <w:jc w:val="center"/>
            </w:pPr>
            <w:r>
              <w:rPr>
                <w:rFonts w:ascii="宋体" w:hAnsi="宋体" w:eastAsia="宋体"/>
                <w:sz w:val="19"/>
              </w:rPr>
            </w:r>
            <w:r>
              <w:rPr>
                <w:rFonts w:ascii="宋体" w:hAnsi="宋体" w:eastAsia="宋体"/>
                <w:b w:val="0"/>
                <w:color w:val="2F3437"/>
                <w:sz w:val="18"/>
              </w:rPr>
              <w:t>58,023.26株</w:t>
            </w:r>
          </w:p>
        </w:tc>
      </w:tr>
      <w:tr>
        <w:tc>
          <w:tcPr>
            <w:tcW w:type="dxa" w:w="4703"/>
            <w:vAlign w:val="center"/>
          </w:tcPr>
          <w:p>
            <w:pPr>
              <w:jc w:val="center"/>
            </w:pPr>
            <w:r>
              <w:rPr>
                <w:rFonts w:ascii="宋体" w:hAnsi="宋体" w:eastAsia="宋体"/>
                <w:sz w:val="19"/>
              </w:rPr>
            </w:r>
            <w:r>
              <w:rPr>
                <w:rFonts w:ascii="宋体" w:hAnsi="宋体" w:eastAsia="宋体"/>
                <w:b w:val="0"/>
                <w:color w:val="2F3437"/>
                <w:sz w:val="18"/>
              </w:rPr>
              <w:t>95%近似置信区间</w:t>
            </w:r>
          </w:p>
        </w:tc>
        <w:tc>
          <w:tcPr>
            <w:tcW w:type="dxa" w:w="4703"/>
            <w:vAlign w:val="center"/>
          </w:tcPr>
          <w:p>
            <w:pPr>
              <w:jc w:val="center"/>
            </w:pPr>
            <w:r>
              <w:rPr>
                <w:rFonts w:ascii="宋体" w:hAnsi="宋体" w:eastAsia="宋体"/>
                <w:sz w:val="19"/>
              </w:rPr>
            </w:r>
            <w:r>
              <w:rPr>
                <w:rFonts w:ascii="宋体" w:hAnsi="宋体" w:eastAsia="宋体"/>
                <w:b w:val="0"/>
                <w:color w:val="2F3437"/>
                <w:sz w:val="18"/>
              </w:rPr>
              <w:t>[431,996.40, 659,447.57]株</w:t>
            </w:r>
          </w:p>
        </w:tc>
      </w:tr>
    </w:tbl>
    <w:p>
      <w:pPr>
        <w:spacing w:line="300" w:lineRule="auto"/>
        <w:ind/>
        <w:jc w:val="center"/>
      </w:pPr>
      <w:r>
        <w:rPr>
          <w:rFonts w:ascii="宋体" w:hAnsi="宋体" w:eastAsia="宋体"/>
          <w:b w:val="0"/>
          <w:color w:val="5F6970"/>
          <w:sz w:val="20"/>
        </w:rPr>
        <w:t>表4 主要统计计算结果汇总</w:t>
      </w:r>
    </w:p>
    <w:p>
      <w:pPr>
        <w:pStyle w:val="Heading2"/>
      </w:pPr>
      <w:r>
        <w:rPr>
          <w:rFonts w:ascii="黑体" w:hAnsi="黑体" w:eastAsia="黑体"/>
          <w:b/>
          <w:color w:val="568072"/>
          <w:sz w:val="25"/>
        </w:rPr>
        <w:t>附录D 任务书要求落实情况</w:t>
      </w:r>
    </w:p>
    <w:p>
      <w:pPr>
        <w:jc w:val="center"/>
      </w:pPr>
      <w:r>
        <w:rPr>
          <w:rFonts w:ascii="宋体" w:hAnsi="宋体" w:eastAsia="宋体"/>
          <w:b w:val="0"/>
          <w:color w:val="5F6970"/>
          <w:sz w:val="20"/>
        </w:rPr>
        <w:t>表5 任务书要求落实情况</w:t>
      </w:r>
    </w:p>
    <w:tbl>
      <w:tblPr>
        <w:tblStyle w:val="TableGrid"/>
        <w:tblW w:type="auto" w:w="0"/>
        <w:jc w:val="center"/>
        <w:tblLook w:firstColumn="1" w:firstRow="1" w:lastColumn="0" w:lastRow="0" w:noHBand="0" w:noVBand="1" w:val="04A0"/>
      </w:tblPr>
      <w:tblGrid>
        <w:gridCol w:w="4703"/>
        <w:gridCol w:w="4703"/>
      </w:tblGrid>
      <w:tr>
        <w:tc>
          <w:tcPr>
            <w:tcW w:type="dxa" w:w="4703"/>
            <w:vAlign w:val="center"/>
            <w:shd w:fill="EAF4EF"/>
          </w:tcPr>
          <w:p>
            <w:pPr>
              <w:spacing w:before="0" w:after="0" w:line="240" w:lineRule="auto"/>
            </w:pPr>
            <w:r>
              <w:rPr>
                <w:rFonts w:ascii="宋体" w:hAnsi="宋体" w:eastAsia="宋体"/>
                <w:b w:val="0"/>
                <w:color w:val="2F3437"/>
                <w:sz w:val="18"/>
              </w:rPr>
              <w:t>任务书要求</w:t>
            </w:r>
          </w:p>
        </w:tc>
        <w:tc>
          <w:tcPr>
            <w:tcW w:type="dxa" w:w="4703"/>
            <w:vAlign w:val="center"/>
            <w:shd w:fill="EAF4EF"/>
          </w:tcPr>
          <w:p>
            <w:pPr>
              <w:spacing w:before="0" w:after="0" w:line="240" w:lineRule="auto"/>
            </w:pPr>
            <w:r>
              <w:rPr>
                <w:rFonts w:ascii="宋体" w:hAnsi="宋体" w:eastAsia="宋体"/>
                <w:b w:val="0"/>
                <w:color w:val="2F3437"/>
                <w:sz w:val="18"/>
              </w:rPr>
              <w:t>本报告落实情况</w:t>
            </w:r>
          </w:p>
        </w:tc>
      </w:tr>
      <w:tr>
        <w:tc>
          <w:tcPr>
            <w:tcW w:type="dxa" w:w="4703"/>
            <w:vAlign w:val="center"/>
          </w:tcPr>
          <w:p>
            <w:pPr>
              <w:spacing w:before="0" w:after="0" w:line="240" w:lineRule="auto"/>
            </w:pPr>
            <w:r>
              <w:rPr>
                <w:rFonts w:ascii="宋体" w:hAnsi="宋体" w:eastAsia="宋体"/>
                <w:b w:val="0"/>
                <w:color w:val="2F3437"/>
                <w:sz w:val="18"/>
              </w:rPr>
              <w:t>总体界定</w:t>
            </w:r>
          </w:p>
        </w:tc>
        <w:tc>
          <w:tcPr>
            <w:tcW w:type="dxa" w:w="4703"/>
            <w:vAlign w:val="center"/>
          </w:tcPr>
          <w:p>
            <w:pPr>
              <w:spacing w:before="0" w:after="0" w:line="240" w:lineRule="auto"/>
            </w:pPr>
            <w:r>
              <w:rPr>
                <w:rFonts w:ascii="宋体" w:hAnsi="宋体" w:eastAsia="宋体"/>
                <w:b w:val="0"/>
                <w:color w:val="2F3437"/>
                <w:sz w:val="18"/>
              </w:rPr>
              <w:t>已明确调查区域、六块草坪边界、草本植物计数单位和边界计入规则。</w:t>
            </w:r>
          </w:p>
        </w:tc>
      </w:tr>
      <w:tr>
        <w:tc>
          <w:tcPr>
            <w:tcW w:type="dxa" w:w="4703"/>
            <w:vAlign w:val="center"/>
          </w:tcPr>
          <w:p>
            <w:pPr>
              <w:spacing w:before="0" w:after="0" w:line="240" w:lineRule="auto"/>
            </w:pPr>
            <w:r>
              <w:rPr>
                <w:rFonts w:ascii="宋体" w:hAnsi="宋体" w:eastAsia="宋体"/>
                <w:b w:val="0"/>
                <w:color w:val="2F3437"/>
                <w:sz w:val="18"/>
              </w:rPr>
              <w:t>抽样方案设计</w:t>
            </w:r>
          </w:p>
        </w:tc>
        <w:tc>
          <w:tcPr>
            <w:tcW w:type="dxa" w:w="4703"/>
            <w:vAlign w:val="center"/>
          </w:tcPr>
          <w:p>
            <w:pPr>
              <w:spacing w:before="0" w:after="0" w:line="240" w:lineRule="auto"/>
            </w:pPr>
            <w:r>
              <w:rPr>
                <w:rFonts w:ascii="宋体" w:hAnsi="宋体" w:eastAsia="宋体"/>
                <w:b w:val="0"/>
                <w:color w:val="2F3437"/>
                <w:sz w:val="18"/>
              </w:rPr>
              <w:t>采用分层样方法和层内系统布点，说明了分层依据、样方大小、样本量和布点原则。</w:t>
            </w:r>
          </w:p>
        </w:tc>
      </w:tr>
      <w:tr>
        <w:tc>
          <w:tcPr>
            <w:tcW w:type="dxa" w:w="4703"/>
            <w:vAlign w:val="center"/>
          </w:tcPr>
          <w:p>
            <w:pPr>
              <w:spacing w:before="0" w:after="0" w:line="240" w:lineRule="auto"/>
            </w:pPr>
            <w:r>
              <w:rPr>
                <w:rFonts w:ascii="宋体" w:hAnsi="宋体" w:eastAsia="宋体"/>
                <w:b w:val="0"/>
                <w:color w:val="2F3437"/>
                <w:sz w:val="18"/>
              </w:rPr>
              <w:t>实地调查记录</w:t>
            </w:r>
          </w:p>
        </w:tc>
        <w:tc>
          <w:tcPr>
            <w:tcW w:type="dxa" w:w="4703"/>
            <w:vAlign w:val="center"/>
          </w:tcPr>
          <w:p>
            <w:pPr>
              <w:spacing w:before="0" w:after="0" w:line="240" w:lineRule="auto"/>
            </w:pPr>
            <w:r>
              <w:rPr>
                <w:rFonts w:ascii="宋体" w:hAnsi="宋体" w:eastAsia="宋体"/>
                <w:b w:val="0"/>
                <w:color w:val="2F3437"/>
                <w:sz w:val="18"/>
              </w:rPr>
              <w:t>保留25个样方编号、所属区域、草数量、现场照片和原始Excel数据。</w:t>
            </w:r>
          </w:p>
        </w:tc>
      </w:tr>
      <w:tr>
        <w:tc>
          <w:tcPr>
            <w:tcW w:type="dxa" w:w="4703"/>
            <w:vAlign w:val="center"/>
          </w:tcPr>
          <w:p>
            <w:pPr>
              <w:spacing w:before="0" w:after="0" w:line="240" w:lineRule="auto"/>
            </w:pPr>
            <w:r>
              <w:rPr>
                <w:rFonts w:ascii="宋体" w:hAnsi="宋体" w:eastAsia="宋体"/>
                <w:b w:val="0"/>
                <w:color w:val="2F3437"/>
                <w:sz w:val="18"/>
              </w:rPr>
              <w:t>数据整理</w:t>
            </w:r>
          </w:p>
        </w:tc>
        <w:tc>
          <w:tcPr>
            <w:tcW w:type="dxa" w:w="4703"/>
            <w:vAlign w:val="center"/>
          </w:tcPr>
          <w:p>
            <w:pPr>
              <w:spacing w:before="0" w:after="0" w:line="240" w:lineRule="auto"/>
            </w:pPr>
            <w:r>
              <w:rPr>
                <w:rFonts w:ascii="宋体" w:hAnsi="宋体" w:eastAsia="宋体"/>
                <w:b w:val="0"/>
                <w:color w:val="2F3437"/>
                <w:sz w:val="18"/>
              </w:rPr>
              <w:t>列出完整原始数据，计算各区域均值、方差、估计总数和主要统计指标。</w:t>
            </w:r>
          </w:p>
        </w:tc>
      </w:tr>
      <w:tr>
        <w:tc>
          <w:tcPr>
            <w:tcW w:type="dxa" w:w="4703"/>
            <w:vAlign w:val="center"/>
          </w:tcPr>
          <w:p>
            <w:pPr>
              <w:spacing w:before="0" w:after="0" w:line="240" w:lineRule="auto"/>
            </w:pPr>
            <w:r>
              <w:rPr>
                <w:rFonts w:ascii="宋体" w:hAnsi="宋体" w:eastAsia="宋体"/>
                <w:b w:val="0"/>
                <w:color w:val="2F3437"/>
                <w:sz w:val="18"/>
              </w:rPr>
              <w:t>总体估计</w:t>
            </w:r>
          </w:p>
        </w:tc>
        <w:tc>
          <w:tcPr>
            <w:tcW w:type="dxa" w:w="4703"/>
            <w:vAlign w:val="center"/>
          </w:tcPr>
          <w:p>
            <w:pPr>
              <w:spacing w:before="0" w:after="0" w:line="240" w:lineRule="auto"/>
            </w:pPr>
            <w:r>
              <w:rPr>
                <w:rFonts w:ascii="宋体" w:hAnsi="宋体" w:eastAsia="宋体"/>
                <w:b w:val="0"/>
                <w:color w:val="2F3437"/>
                <w:sz w:val="18"/>
              </w:rPr>
              <w:t>使用分层面积加权公式估计总量，并给出平均密度、标准误和95%近似置信区间。</w:t>
            </w:r>
          </w:p>
        </w:tc>
      </w:tr>
      <w:tr>
        <w:tc>
          <w:tcPr>
            <w:tcW w:type="dxa" w:w="4703"/>
            <w:vAlign w:val="center"/>
          </w:tcPr>
          <w:p>
            <w:pPr>
              <w:spacing w:before="0" w:after="0" w:line="240" w:lineRule="auto"/>
            </w:pPr>
            <w:r>
              <w:rPr>
                <w:rFonts w:ascii="宋体" w:hAnsi="宋体" w:eastAsia="宋体"/>
                <w:b w:val="0"/>
                <w:color w:val="2F3437"/>
                <w:sz w:val="18"/>
              </w:rPr>
              <w:t>误差分析</w:t>
            </w:r>
          </w:p>
        </w:tc>
        <w:tc>
          <w:tcPr>
            <w:tcW w:type="dxa" w:w="4703"/>
            <w:vAlign w:val="center"/>
          </w:tcPr>
          <w:p>
            <w:pPr>
              <w:spacing w:before="0" w:after="0" w:line="240" w:lineRule="auto"/>
            </w:pPr>
            <w:r>
              <w:rPr>
                <w:rFonts w:ascii="宋体" w:hAnsi="宋体" w:eastAsia="宋体"/>
                <w:b w:val="0"/>
                <w:color w:val="2F3437"/>
                <w:sz w:val="18"/>
              </w:rPr>
              <w:t>分别讨论抽样误差、面积测量误差、边界判定误差、人工计数误差和环境干扰。</w:t>
            </w:r>
          </w:p>
        </w:tc>
      </w:tr>
      <w:tr>
        <w:tc>
          <w:tcPr>
            <w:tcW w:type="dxa" w:w="4703"/>
            <w:vAlign w:val="center"/>
          </w:tcPr>
          <w:p>
            <w:pPr>
              <w:spacing w:before="0" w:after="0" w:line="240" w:lineRule="auto"/>
            </w:pPr>
            <w:r>
              <w:rPr>
                <w:rFonts w:ascii="宋体" w:hAnsi="宋体" w:eastAsia="宋体"/>
                <w:b w:val="0"/>
                <w:color w:val="2F3437"/>
                <w:sz w:val="18"/>
              </w:rPr>
              <w:t>结果解释</w:t>
            </w:r>
          </w:p>
        </w:tc>
        <w:tc>
          <w:tcPr>
            <w:tcW w:type="dxa" w:w="4703"/>
            <w:vAlign w:val="center"/>
          </w:tcPr>
          <w:p>
            <w:pPr>
              <w:spacing w:before="0" w:after="0" w:line="240" w:lineRule="auto"/>
            </w:pPr>
            <w:r>
              <w:rPr>
                <w:rFonts w:ascii="宋体" w:hAnsi="宋体" w:eastAsia="宋体"/>
                <w:b w:val="0"/>
                <w:color w:val="2F3437"/>
                <w:sz w:val="18"/>
              </w:rPr>
              <w:t>解释估计结果的数量规模、主要贡献区域、可信程度和改进方向。</w:t>
            </w:r>
          </w:p>
        </w:tc>
      </w:tr>
      <w:tr>
        <w:tc>
          <w:tcPr>
            <w:tcW w:type="dxa" w:w="4703"/>
            <w:vAlign w:val="center"/>
          </w:tcPr>
          <w:p>
            <w:pPr>
              <w:spacing w:before="0" w:after="0" w:line="240" w:lineRule="auto"/>
            </w:pPr>
            <w:r>
              <w:rPr>
                <w:rFonts w:ascii="宋体" w:hAnsi="宋体" w:eastAsia="宋体"/>
                <w:b w:val="0"/>
                <w:color w:val="2F3437"/>
                <w:sz w:val="18"/>
              </w:rPr>
              <w:t>附件材料</w:t>
            </w:r>
          </w:p>
        </w:tc>
        <w:tc>
          <w:tcPr>
            <w:tcW w:type="dxa" w:w="4703"/>
            <w:vAlign w:val="center"/>
          </w:tcPr>
          <w:p>
            <w:pPr>
              <w:spacing w:before="0" w:after="0" w:line="240" w:lineRule="auto"/>
            </w:pPr>
            <w:r>
              <w:rPr>
                <w:rFonts w:ascii="宋体" w:hAnsi="宋体" w:eastAsia="宋体"/>
                <w:b w:val="0"/>
                <w:color w:val="2F3437"/>
                <w:sz w:val="18"/>
              </w:rPr>
              <w:t>报告中插入草坪图、面积图、样方工具图、现场图、样方照片、统计图，并保留原始数据文件。</w:t>
            </w:r>
          </w:p>
        </w:tc>
      </w:tr>
    </w:tbl>
    <w:p>
      <w:pPr>
        <w:pStyle w:val="Heading1"/>
      </w:pPr>
      <w:r>
        <w:rPr>
          <w:rFonts w:ascii="黑体" w:hAnsi="黑体" w:eastAsia="黑体"/>
          <w:b/>
          <w:color w:val="2F5D50"/>
          <w:sz w:val="30"/>
        </w:rPr>
        <w:t>参考文献</w:t>
      </w:r>
    </w:p>
    <w:p>
      <w:pPr>
        <w:spacing w:line="300" w:lineRule="auto"/>
        <w:ind w:firstLine="420"/>
      </w:pPr>
      <w:r>
        <w:rPr>
          <w:rFonts w:ascii="宋体" w:hAnsi="宋体" w:eastAsia="宋体"/>
          <w:b w:val="0"/>
          <w:color w:val="2F3437"/>
          <w:sz w:val="22"/>
        </w:rPr>
        <w:t>[1] 《抽样技术》课程结课实战任务书，2026。</w:t>
      </w:r>
    </w:p>
    <w:p>
      <w:pPr>
        <w:spacing w:line="300" w:lineRule="auto"/>
        <w:ind w:firstLine="420"/>
      </w:pPr>
      <w:r>
        <w:rPr>
          <w:rFonts w:ascii="宋体" w:hAnsi="宋体" w:eastAsia="宋体"/>
          <w:b w:val="0"/>
          <w:color w:val="2F3437"/>
          <w:sz w:val="22"/>
        </w:rPr>
        <w:t>[2] 金勇进等. 抽样技术（第5版）. 中国人民大学出版社。</w:t>
      </w:r>
    </w:p>
    <w:p>
      <w:pPr>
        <w:spacing w:line="300" w:lineRule="auto"/>
        <w:ind w:firstLine="420"/>
      </w:pPr>
      <w:r>
        <w:rPr>
          <w:rFonts w:ascii="宋体" w:hAnsi="宋体" w:eastAsia="宋体"/>
          <w:b w:val="0"/>
          <w:color w:val="2F3437"/>
          <w:sz w:val="22"/>
        </w:rPr>
        <w:t>声明：本报告为本人独立完成，所用数据来自本人实地抽样调查和原始记录。</w:t>
      </w:r>
    </w:p>
    <w:sectPr w:rsidR="00FC693F" w:rsidRPr="0006063C" w:rsidSect="00034616">
      <w:headerReference w:type="default" r:id="rId17"/>
      <w:footerReference w:type="default" r:id="rId18"/>
      <w:pgSz w:w="12240" w:h="15840"/>
      <w:pgMar w:top="1304" w:right="1417" w:bottom="1247" w:left="1417" w:header="680" w:footer="624"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
      <w:rPr>
        <w:rFonts w:ascii="宋体" w:hAnsi="宋体" w:eastAsia="宋体"/>
        <w:b w:val="0"/>
        <w:color w:val="5F6970"/>
        <w:sz w:val="18"/>
      </w:rPr>
      <w:t xml:space="preserve">第 </w:t>
    </w:r>
    <w:r>
      <w:fldChar w:fldCharType="begin"/>
    </w:r>
    <w:r>
      <w:instrText xml:space="preserve"> PAGE </w:instrText>
    </w:r>
    <w:r>
      <w:fldChar w:fldCharType="separate"/>
    </w:r>
    <w:r>
      <w:rPr>
        <w:rFonts w:ascii="宋体" w:hAnsi="宋体" w:eastAsia="宋体"/>
        <w:b w:val="0"/>
        <w:color w:val="5F6970"/>
        <w:sz w:val="18"/>
      </w:rPr>
      <w:t>1</w:t>
    </w:r>
    <w:r>
      <w:fldChar w:fldCharType="end"/>
    </w:r>
    <w:r>
      <w:rPr>
        <w:rFonts w:ascii="宋体" w:hAnsi="宋体" w:eastAsia="宋体"/>
        <w:b w:val="0"/>
        <w:color w:val="5F6970"/>
        <w:sz w:val="18"/>
      </w:rPr>
      <w:t xml:space="preserve"> 页</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Bdr>
        <w:bottom w:val="single" w:sz="6" w:space="6" w:color="D6E7DF"/>
      </w:pBdr>
    </w:pPr>
    <w:r/>
    <w:r>
      <w:rPr>
        <w:rFonts w:ascii="宋体" w:hAnsi="宋体" w:eastAsia="宋体"/>
        <w:b w:val="0"/>
        <w:color w:val="5F6970"/>
        <w:sz w:val="18"/>
      </w:rPr>
      <w:t>C5门前草坪草数量抽样调查报告  |  李倩倩  2024017349</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2F3437"/>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黑体" w:hAnsi="黑体" w:eastAsia="黑体"/>
      <w:b/>
      <w:bCs/>
      <w:color w:val="2F5D50"/>
      <w:sz w:val="30"/>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黑体" w:hAnsi="黑体" w:eastAsia="黑体"/>
      <w:b/>
      <w:bCs/>
      <w:color w:val="568072"/>
      <w:sz w:val="25"/>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黑体" w:hAnsi="黑体" w:eastAsia="黑体"/>
      <w:b/>
      <w:bCs/>
      <w:color w:val="568072"/>
      <w:sz w:val="23"/>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ascii="黑体" w:hAnsi="黑体" w:eastAsia="黑体"/>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4" Type="http://schemas.openxmlformats.org/officeDocument/2006/relationships/image" Target="media/image6.png"/><Relationship Id="rId41" Type="http://schemas.openxmlformats.org/officeDocument/2006/relationships/image" Target="media/image33.jpg"/><Relationship Id="rId13" Type="http://schemas.openxmlformats.org/officeDocument/2006/relationships/image" Target="media/image5.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header" Target="header1.xml"/><Relationship Id="rId1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